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E8" w:rsidRPr="00767182" w:rsidRDefault="00441681" w:rsidP="000F17C7">
      <w:pPr>
        <w:jc w:val="center"/>
        <w:rPr>
          <w:rFonts w:eastAsia="標楷體"/>
          <w:b/>
          <w:sz w:val="40"/>
          <w:szCs w:val="40"/>
        </w:rPr>
      </w:pPr>
      <w:r w:rsidRPr="00767182">
        <w:rPr>
          <w:rFonts w:eastAsia="標楷體" w:hAnsi="標楷體"/>
          <w:b/>
          <w:sz w:val="40"/>
          <w:szCs w:val="40"/>
        </w:rPr>
        <w:t>「機構投資人盡責管理守則」草案</w:t>
      </w:r>
    </w:p>
    <w:p w:rsidR="00441681" w:rsidRPr="00767182" w:rsidRDefault="00441681" w:rsidP="000F17C7">
      <w:pPr>
        <w:jc w:val="center"/>
        <w:rPr>
          <w:rFonts w:eastAsia="標楷體"/>
          <w:b/>
          <w:sz w:val="40"/>
          <w:szCs w:val="40"/>
        </w:rPr>
      </w:pPr>
      <w:r w:rsidRPr="00767182">
        <w:rPr>
          <w:rFonts w:eastAsia="標楷體" w:hAnsi="標楷體"/>
          <w:b/>
          <w:sz w:val="40"/>
          <w:szCs w:val="40"/>
        </w:rPr>
        <w:t>意見徵詢函</w:t>
      </w:r>
    </w:p>
    <w:p w:rsidR="00441681" w:rsidRPr="00767182" w:rsidRDefault="00441681" w:rsidP="00885D75">
      <w:pPr>
        <w:jc w:val="both"/>
        <w:rPr>
          <w:rFonts w:eastAsia="標楷體"/>
        </w:rPr>
      </w:pPr>
    </w:p>
    <w:p w:rsidR="00441681" w:rsidRPr="0094738E" w:rsidRDefault="004B44FB" w:rsidP="00885D75">
      <w:pPr>
        <w:pStyle w:val="a3"/>
        <w:numPr>
          <w:ilvl w:val="0"/>
          <w:numId w:val="1"/>
        </w:numPr>
        <w:ind w:leftChars="0"/>
        <w:jc w:val="both"/>
        <w:rPr>
          <w:rFonts w:eastAsia="標楷體"/>
          <w:b/>
          <w:sz w:val="28"/>
          <w:szCs w:val="28"/>
        </w:rPr>
      </w:pPr>
      <w:r w:rsidRPr="0094738E">
        <w:rPr>
          <w:rFonts w:eastAsia="標楷體" w:hAnsi="標楷體"/>
          <w:b/>
          <w:sz w:val="28"/>
          <w:szCs w:val="28"/>
        </w:rPr>
        <w:t>前言</w:t>
      </w:r>
    </w:p>
    <w:p w:rsidR="000E01F0" w:rsidRPr="000E01F0" w:rsidRDefault="004B44FB" w:rsidP="000E01F0">
      <w:pPr>
        <w:ind w:firstLine="480"/>
        <w:jc w:val="both"/>
        <w:rPr>
          <w:rFonts w:eastAsia="標楷體" w:hAnsi="標楷體"/>
          <w:szCs w:val="28"/>
        </w:rPr>
      </w:pPr>
      <w:r w:rsidRPr="009B4870">
        <w:rPr>
          <w:rFonts w:eastAsia="標楷體" w:hAnsi="標楷體"/>
          <w:szCs w:val="28"/>
        </w:rPr>
        <w:t>為加速推動我國上市</w:t>
      </w:r>
      <w:r w:rsidR="000E01F0" w:rsidRPr="000E01F0">
        <w:rPr>
          <w:rFonts w:eastAsia="標楷體" w:hAnsi="標楷體"/>
          <w:szCs w:val="28"/>
        </w:rPr>
        <w:t>(</w:t>
      </w:r>
      <w:r w:rsidR="006E2A6D" w:rsidRPr="006E2A6D">
        <w:rPr>
          <w:rFonts w:eastAsia="標楷體" w:hAnsi="標楷體"/>
          <w:szCs w:val="28"/>
        </w:rPr>
        <w:t>櫃</w:t>
      </w:r>
      <w:r w:rsidR="000E01F0" w:rsidRPr="000E01F0">
        <w:rPr>
          <w:rFonts w:eastAsia="標楷體" w:hAnsi="標楷體"/>
          <w:szCs w:val="28"/>
        </w:rPr>
        <w:t>)</w:t>
      </w:r>
      <w:r w:rsidR="006E2A6D" w:rsidRPr="006E2A6D">
        <w:rPr>
          <w:rFonts w:eastAsia="標楷體" w:hAnsi="標楷體"/>
          <w:szCs w:val="28"/>
        </w:rPr>
        <w:t>企業之公司治理，協助企業健全發展及保障投資人權益，金融監督管理委員會</w:t>
      </w:r>
      <w:r w:rsidR="0030211A">
        <w:rPr>
          <w:rFonts w:eastAsia="標楷體" w:hAnsi="標楷體"/>
          <w:szCs w:val="28"/>
        </w:rPr>
        <w:t>（下稱金管會）</w:t>
      </w:r>
      <w:r w:rsidR="006E2A6D" w:rsidRPr="006E2A6D">
        <w:rPr>
          <w:rFonts w:eastAsia="標楷體" w:hAnsi="標楷體"/>
          <w:szCs w:val="28"/>
        </w:rPr>
        <w:t>於</w:t>
      </w:r>
      <w:r w:rsidR="000E01F0" w:rsidRPr="000E01F0">
        <w:rPr>
          <w:rFonts w:eastAsia="標楷體" w:hAnsi="標楷體"/>
          <w:szCs w:val="28"/>
        </w:rPr>
        <w:t>2013</w:t>
      </w:r>
      <w:r w:rsidR="006E2A6D">
        <w:rPr>
          <w:rFonts w:eastAsia="標楷體" w:hAnsi="標楷體"/>
          <w:szCs w:val="28"/>
        </w:rPr>
        <w:t>年</w:t>
      </w:r>
      <w:r w:rsidR="000E01F0" w:rsidRPr="000E01F0">
        <w:rPr>
          <w:rFonts w:eastAsia="標楷體" w:hAnsi="標楷體"/>
          <w:szCs w:val="28"/>
        </w:rPr>
        <w:t>12</w:t>
      </w:r>
      <w:r w:rsidR="006E2A6D">
        <w:rPr>
          <w:rFonts w:eastAsia="標楷體" w:hAnsi="標楷體"/>
          <w:szCs w:val="28"/>
        </w:rPr>
        <w:t>月發</w:t>
      </w:r>
      <w:r w:rsidR="0030211A">
        <w:rPr>
          <w:rFonts w:eastAsia="標楷體" w:hAnsi="標楷體"/>
          <w:szCs w:val="28"/>
        </w:rPr>
        <w:t>布</w:t>
      </w:r>
      <w:r w:rsidR="006E2A6D">
        <w:rPr>
          <w:rFonts w:eastAsia="標楷體" w:hAnsi="標楷體"/>
          <w:szCs w:val="28"/>
        </w:rPr>
        <w:t>以</w:t>
      </w:r>
      <w:r w:rsidR="000E01F0" w:rsidRPr="000E01F0">
        <w:rPr>
          <w:rFonts w:eastAsia="標楷體" w:hAnsi="標楷體"/>
          <w:szCs w:val="28"/>
        </w:rPr>
        <w:t>5</w:t>
      </w:r>
      <w:r w:rsidR="006E2A6D" w:rsidRPr="006E2A6D">
        <w:rPr>
          <w:rFonts w:eastAsia="標楷體" w:hAnsi="標楷體"/>
          <w:szCs w:val="28"/>
        </w:rPr>
        <w:t>年為期之「強化我國公司治理藍圖」，</w:t>
      </w:r>
      <w:r w:rsidR="006E2A6D">
        <w:rPr>
          <w:rFonts w:eastAsia="標楷體" w:hAnsi="標楷體" w:hint="eastAsia"/>
          <w:szCs w:val="28"/>
        </w:rPr>
        <w:t>臺灣證券交易所（下稱</w:t>
      </w:r>
      <w:r w:rsidR="006E2A6D" w:rsidRPr="006E2A6D">
        <w:rPr>
          <w:rFonts w:eastAsia="標楷體" w:hAnsi="標楷體"/>
          <w:szCs w:val="28"/>
        </w:rPr>
        <w:t>證交所</w:t>
      </w:r>
      <w:r w:rsidR="006E2A6D" w:rsidRPr="006E2A6D">
        <w:rPr>
          <w:rFonts w:eastAsia="標楷體" w:hAnsi="標楷體" w:hint="eastAsia"/>
          <w:szCs w:val="28"/>
        </w:rPr>
        <w:t>）</w:t>
      </w:r>
      <w:proofErr w:type="gramStart"/>
      <w:r w:rsidR="006E2A6D" w:rsidRPr="006E2A6D">
        <w:rPr>
          <w:rFonts w:eastAsia="標楷體" w:hAnsi="標楷體" w:hint="eastAsia"/>
          <w:szCs w:val="28"/>
        </w:rPr>
        <w:t>嗣</w:t>
      </w:r>
      <w:proofErr w:type="gramEnd"/>
      <w:r w:rsidR="006E2A6D" w:rsidRPr="006E2A6D">
        <w:rPr>
          <w:rFonts w:eastAsia="標楷體" w:hAnsi="標楷體"/>
          <w:szCs w:val="28"/>
        </w:rPr>
        <w:t>依據前揭治理藍圖設立「公司治理中心」，</w:t>
      </w:r>
      <w:r w:rsidR="0030211A">
        <w:rPr>
          <w:rFonts w:eastAsia="標楷體" w:hAnsi="標楷體"/>
          <w:szCs w:val="28"/>
        </w:rPr>
        <w:t>結合政府及民間單位之資源，</w:t>
      </w:r>
      <w:r w:rsidR="006E2A6D" w:rsidRPr="006E2A6D">
        <w:rPr>
          <w:rFonts w:eastAsia="標楷體" w:hAnsi="標楷體"/>
          <w:szCs w:val="28"/>
        </w:rPr>
        <w:t>推動公司治理改</w:t>
      </w:r>
      <w:r w:rsidR="0030211A">
        <w:rPr>
          <w:rFonts w:eastAsia="標楷體" w:hAnsi="標楷體"/>
          <w:szCs w:val="28"/>
        </w:rPr>
        <w:t>革</w:t>
      </w:r>
      <w:r w:rsidR="006E2A6D" w:rsidRPr="006E2A6D">
        <w:rPr>
          <w:rFonts w:eastAsia="標楷體" w:hAnsi="標楷體"/>
          <w:szCs w:val="28"/>
        </w:rPr>
        <w:t>，</w:t>
      </w:r>
      <w:r w:rsidR="000E01F0" w:rsidRPr="000E01F0">
        <w:rPr>
          <w:rFonts w:eastAsia="標楷體" w:hAnsi="標楷體" w:hint="eastAsia"/>
          <w:szCs w:val="28"/>
        </w:rPr>
        <w:t>迄今完成多項藍圖重要推動措施</w:t>
      </w:r>
      <w:r w:rsidR="006E2A6D">
        <w:rPr>
          <w:rFonts w:eastAsia="標楷體" w:hAnsi="標楷體"/>
          <w:szCs w:val="28"/>
        </w:rPr>
        <w:t>。為維持改革動能，</w:t>
      </w:r>
      <w:r w:rsidR="006E2A6D" w:rsidRPr="006E2A6D">
        <w:rPr>
          <w:rFonts w:eastAsia="標楷體" w:hAnsi="標楷體" w:hint="eastAsia"/>
          <w:szCs w:val="28"/>
        </w:rPr>
        <w:t>相關</w:t>
      </w:r>
      <w:r w:rsidR="006E2A6D" w:rsidRPr="006E2A6D">
        <w:rPr>
          <w:rFonts w:eastAsia="標楷體" w:hAnsi="標楷體"/>
          <w:szCs w:val="28"/>
        </w:rPr>
        <w:t>政策的「推力」與市場的「拉力」都必須具備</w:t>
      </w:r>
      <w:r w:rsidR="006E2A6D" w:rsidRPr="006E2A6D">
        <w:rPr>
          <w:rFonts w:eastAsia="標楷體" w:hAnsi="標楷體" w:hint="eastAsia"/>
          <w:szCs w:val="28"/>
        </w:rPr>
        <w:t>，</w:t>
      </w:r>
      <w:r w:rsidR="006E2A6D" w:rsidRPr="006E2A6D">
        <w:rPr>
          <w:rFonts w:eastAsia="標楷體" w:hAnsi="標楷體"/>
          <w:szCs w:val="28"/>
        </w:rPr>
        <w:t>根據金管會統計，截至</w:t>
      </w:r>
      <w:r w:rsidR="000E01F0" w:rsidRPr="000E01F0">
        <w:rPr>
          <w:rFonts w:eastAsia="標楷體" w:hAnsi="標楷體"/>
          <w:szCs w:val="28"/>
        </w:rPr>
        <w:t>2015</w:t>
      </w:r>
      <w:r w:rsidR="006E2A6D" w:rsidRPr="006E2A6D">
        <w:rPr>
          <w:rFonts w:eastAsia="標楷體" w:hAnsi="標楷體"/>
          <w:szCs w:val="28"/>
        </w:rPr>
        <w:t>年</w:t>
      </w:r>
      <w:r w:rsidR="000E01F0" w:rsidRPr="000E01F0">
        <w:rPr>
          <w:rFonts w:eastAsia="標楷體" w:hAnsi="標楷體"/>
          <w:szCs w:val="28"/>
        </w:rPr>
        <w:t>7</w:t>
      </w:r>
      <w:r w:rsidR="006E2A6D" w:rsidRPr="006E2A6D">
        <w:rPr>
          <w:rFonts w:eastAsia="標楷體" w:hAnsi="標楷體"/>
          <w:szCs w:val="28"/>
        </w:rPr>
        <w:t>月底，外資持有上市公司市值比率已達</w:t>
      </w:r>
      <w:r w:rsidR="000E01F0" w:rsidRPr="000E01F0">
        <w:rPr>
          <w:rFonts w:eastAsia="標楷體" w:hAnsi="標楷體"/>
          <w:szCs w:val="28"/>
        </w:rPr>
        <w:t>38.65%</w:t>
      </w:r>
      <w:r w:rsidR="006E2A6D" w:rsidRPr="006E2A6D">
        <w:rPr>
          <w:rFonts w:eastAsia="標楷體" w:hAnsi="標楷體"/>
          <w:szCs w:val="28"/>
        </w:rPr>
        <w:t>，而集中交易市場成交金額本國與外國法人共占</w:t>
      </w:r>
      <w:r w:rsidR="000E01F0" w:rsidRPr="000E01F0">
        <w:rPr>
          <w:rFonts w:eastAsia="標楷體" w:hAnsi="標楷體"/>
          <w:szCs w:val="28"/>
        </w:rPr>
        <w:t>48.1%</w:t>
      </w:r>
      <w:r w:rsidR="006E2A6D" w:rsidRPr="006E2A6D">
        <w:rPr>
          <w:rFonts w:eastAsia="標楷體" w:hAnsi="標楷體"/>
          <w:szCs w:val="28"/>
        </w:rPr>
        <w:t>，機構投資人</w:t>
      </w:r>
      <w:r w:rsidR="000E01F0" w:rsidRPr="000E01F0">
        <w:rPr>
          <w:rFonts w:eastAsia="標楷體" w:hAnsi="標楷體" w:hint="eastAsia"/>
          <w:szCs w:val="28"/>
        </w:rPr>
        <w:t>對市場穩定與發展之</w:t>
      </w:r>
      <w:r w:rsidR="000E01F0" w:rsidRPr="000E01F0">
        <w:rPr>
          <w:rFonts w:eastAsia="標楷體" w:hAnsi="標楷體"/>
          <w:szCs w:val="28"/>
        </w:rPr>
        <w:t>影響</w:t>
      </w:r>
      <w:r w:rsidR="000E01F0" w:rsidRPr="000E01F0">
        <w:rPr>
          <w:rFonts w:eastAsia="標楷體" w:hAnsi="標楷體" w:hint="eastAsia"/>
          <w:szCs w:val="28"/>
        </w:rPr>
        <w:t>日益</w:t>
      </w:r>
      <w:r w:rsidR="000E01F0" w:rsidRPr="000E01F0">
        <w:rPr>
          <w:rFonts w:eastAsia="標楷體" w:hAnsi="標楷體"/>
          <w:szCs w:val="28"/>
        </w:rPr>
        <w:t>重大，若能</w:t>
      </w:r>
      <w:r w:rsidR="000E01F0" w:rsidRPr="000E01F0">
        <w:rPr>
          <w:rFonts w:eastAsia="標楷體" w:hAnsi="標楷體" w:hint="eastAsia"/>
          <w:szCs w:val="28"/>
        </w:rPr>
        <w:t>妥善</w:t>
      </w:r>
      <w:r w:rsidR="000E01F0" w:rsidRPr="000E01F0">
        <w:rPr>
          <w:rFonts w:eastAsia="標楷體" w:hAnsi="標楷體"/>
          <w:szCs w:val="28"/>
        </w:rPr>
        <w:t>透過其對持有或管理之股權促使公司改善治理</w:t>
      </w:r>
      <w:r w:rsidR="000E01F0" w:rsidRPr="000E01F0">
        <w:rPr>
          <w:rFonts w:eastAsia="標楷體" w:hAnsi="標楷體" w:hint="eastAsia"/>
          <w:szCs w:val="28"/>
        </w:rPr>
        <w:t>品質</w:t>
      </w:r>
      <w:r w:rsidR="000E01F0" w:rsidRPr="000E01F0">
        <w:rPr>
          <w:rFonts w:eastAsia="標楷體" w:hAnsi="標楷體"/>
          <w:szCs w:val="28"/>
        </w:rPr>
        <w:t>，勢</w:t>
      </w:r>
      <w:r w:rsidR="000E01F0" w:rsidRPr="000E01F0">
        <w:rPr>
          <w:rFonts w:eastAsia="標楷體" w:hAnsi="標楷體" w:hint="eastAsia"/>
          <w:szCs w:val="28"/>
        </w:rPr>
        <w:t>將能有效提升我國整體公司治理水平並增進企業價值</w:t>
      </w:r>
      <w:r w:rsidR="000E01F0" w:rsidRPr="000E01F0">
        <w:rPr>
          <w:rFonts w:eastAsia="標楷體" w:hAnsi="標楷體"/>
          <w:szCs w:val="28"/>
        </w:rPr>
        <w:t>。證交所公司治理中心</w:t>
      </w:r>
      <w:proofErr w:type="gramStart"/>
      <w:r w:rsidR="000E01F0" w:rsidRPr="000E01F0">
        <w:rPr>
          <w:rFonts w:eastAsia="標楷體" w:hAnsi="標楷體" w:hint="eastAsia"/>
          <w:szCs w:val="28"/>
        </w:rPr>
        <w:t>爰</w:t>
      </w:r>
      <w:proofErr w:type="gramEnd"/>
      <w:r w:rsidR="000E01F0" w:rsidRPr="000E01F0">
        <w:rPr>
          <w:rFonts w:eastAsia="標楷體" w:hAnsi="標楷體" w:hint="eastAsia"/>
          <w:szCs w:val="28"/>
        </w:rPr>
        <w:t>依照</w:t>
      </w:r>
      <w:r w:rsidR="0030211A">
        <w:rPr>
          <w:rFonts w:eastAsia="標楷體" w:hAnsi="標楷體" w:hint="eastAsia"/>
          <w:szCs w:val="28"/>
        </w:rPr>
        <w:t>金管會</w:t>
      </w:r>
      <w:r w:rsidR="000E01F0" w:rsidRPr="000E01F0">
        <w:rPr>
          <w:rFonts w:eastAsia="標楷體" w:hAnsi="標楷體" w:hint="eastAsia"/>
          <w:szCs w:val="28"/>
        </w:rPr>
        <w:t>指示，協同臺灣集中保管結算所、中華民國證券投資信託暨顧問商業同業公會</w:t>
      </w:r>
      <w:r w:rsidR="00255077">
        <w:rPr>
          <w:rFonts w:eastAsia="標楷體" w:hAnsi="標楷體" w:hint="eastAsia"/>
          <w:szCs w:val="28"/>
        </w:rPr>
        <w:t>及</w:t>
      </w:r>
      <w:r w:rsidR="000E01F0" w:rsidRPr="000E01F0">
        <w:rPr>
          <w:rFonts w:eastAsia="標楷體" w:hAnsi="標楷體" w:hint="eastAsia"/>
          <w:szCs w:val="28"/>
        </w:rPr>
        <w:t>台灣金融服務業聯合總會，</w:t>
      </w:r>
      <w:r w:rsidR="000E01F0" w:rsidRPr="000E01F0">
        <w:rPr>
          <w:rFonts w:eastAsia="標楷體" w:hAnsi="標楷體"/>
          <w:szCs w:val="28"/>
        </w:rPr>
        <w:t>參</w:t>
      </w:r>
      <w:r w:rsidR="000E01F0" w:rsidRPr="000E01F0">
        <w:rPr>
          <w:rFonts w:eastAsia="標楷體" w:hAnsi="標楷體" w:hint="eastAsia"/>
          <w:szCs w:val="28"/>
        </w:rPr>
        <w:t>酌</w:t>
      </w:r>
      <w:r w:rsidR="000E01F0" w:rsidRPr="000E01F0">
        <w:rPr>
          <w:rFonts w:eastAsia="標楷體" w:hAnsi="標楷體"/>
          <w:szCs w:val="28"/>
        </w:rPr>
        <w:t>國際推動經驗與我國實務，</w:t>
      </w:r>
      <w:proofErr w:type="gramStart"/>
      <w:r w:rsidR="000E01F0" w:rsidRPr="000E01F0">
        <w:rPr>
          <w:rFonts w:eastAsia="標楷體" w:hAnsi="標楷體" w:hint="eastAsia"/>
          <w:szCs w:val="28"/>
        </w:rPr>
        <w:t>研</w:t>
      </w:r>
      <w:proofErr w:type="gramEnd"/>
      <w:r w:rsidR="000E01F0" w:rsidRPr="000E01F0">
        <w:rPr>
          <w:rFonts w:eastAsia="標楷體" w:hAnsi="標楷體"/>
          <w:szCs w:val="28"/>
        </w:rPr>
        <w:t>擬我國「機構投資人盡責管理守則」</w:t>
      </w:r>
      <w:r w:rsidR="000E01F0" w:rsidRPr="000E01F0">
        <w:rPr>
          <w:rFonts w:eastAsia="標楷體" w:hAnsi="標楷體" w:hint="eastAsia"/>
          <w:szCs w:val="28"/>
        </w:rPr>
        <w:t>草案</w:t>
      </w:r>
      <w:r w:rsidR="000E01F0" w:rsidRPr="000E01F0">
        <w:rPr>
          <w:rFonts w:eastAsia="標楷體" w:hAnsi="標楷體"/>
          <w:szCs w:val="28"/>
        </w:rPr>
        <w:t>，並邀請相關人士於</w:t>
      </w:r>
      <w:r w:rsidR="00282D99">
        <w:rPr>
          <w:rFonts w:eastAsia="標楷體" w:hAnsi="標楷體" w:hint="eastAsia"/>
          <w:szCs w:val="28"/>
        </w:rPr>
        <w:t>2016</w:t>
      </w:r>
      <w:r w:rsidR="000E01F0" w:rsidRPr="000E01F0">
        <w:rPr>
          <w:rFonts w:eastAsia="標楷體" w:hAnsi="標楷體"/>
          <w:szCs w:val="28"/>
        </w:rPr>
        <w:t>年</w:t>
      </w:r>
      <w:r w:rsidR="00983AB8">
        <w:rPr>
          <w:rFonts w:eastAsia="標楷體" w:hAnsi="標楷體" w:hint="eastAsia"/>
          <w:szCs w:val="28"/>
        </w:rPr>
        <w:t>2</w:t>
      </w:r>
      <w:r w:rsidR="000E01F0" w:rsidRPr="000E01F0">
        <w:rPr>
          <w:rFonts w:eastAsia="標楷體" w:hAnsi="標楷體"/>
          <w:szCs w:val="28"/>
        </w:rPr>
        <w:t>月</w:t>
      </w:r>
      <w:r w:rsidR="00983AB8">
        <w:rPr>
          <w:rFonts w:eastAsia="標楷體" w:hAnsi="標楷體" w:hint="eastAsia"/>
          <w:szCs w:val="28"/>
        </w:rPr>
        <w:t>5</w:t>
      </w:r>
      <w:r w:rsidR="000E01F0" w:rsidRPr="000E01F0">
        <w:rPr>
          <w:rFonts w:eastAsia="標楷體" w:hAnsi="標楷體"/>
          <w:szCs w:val="28"/>
        </w:rPr>
        <w:t>日前提供寶貴意見以利守則推行。</w:t>
      </w:r>
    </w:p>
    <w:p w:rsidR="004B44FB" w:rsidRPr="00767182" w:rsidRDefault="004B44FB" w:rsidP="00885D75">
      <w:pPr>
        <w:spacing w:line="276" w:lineRule="auto"/>
        <w:ind w:firstLineChars="236" w:firstLine="566"/>
        <w:jc w:val="both"/>
        <w:rPr>
          <w:rFonts w:eastAsia="標楷體"/>
          <w:szCs w:val="24"/>
        </w:rPr>
      </w:pPr>
    </w:p>
    <w:p w:rsidR="009F0058" w:rsidRPr="0094738E" w:rsidRDefault="004B44FB" w:rsidP="0094738E">
      <w:pPr>
        <w:pStyle w:val="a3"/>
        <w:numPr>
          <w:ilvl w:val="0"/>
          <w:numId w:val="1"/>
        </w:numPr>
        <w:ind w:leftChars="0"/>
        <w:jc w:val="both"/>
        <w:rPr>
          <w:rFonts w:eastAsia="標楷體" w:hAnsi="標楷體"/>
          <w:b/>
          <w:sz w:val="28"/>
          <w:szCs w:val="28"/>
        </w:rPr>
      </w:pPr>
      <w:r w:rsidRPr="0094738E">
        <w:rPr>
          <w:rFonts w:eastAsia="標楷體" w:hAnsi="標楷體"/>
          <w:b/>
          <w:sz w:val="28"/>
          <w:szCs w:val="28"/>
        </w:rPr>
        <w:t>投資人「盡責管理」之</w:t>
      </w:r>
      <w:r w:rsidR="009F0058" w:rsidRPr="0094738E">
        <w:rPr>
          <w:rFonts w:eastAsia="標楷體" w:hAnsi="標楷體"/>
          <w:b/>
          <w:sz w:val="28"/>
          <w:szCs w:val="28"/>
        </w:rPr>
        <w:t>意義</w:t>
      </w:r>
    </w:p>
    <w:p w:rsidR="009F0058" w:rsidRPr="009F0058" w:rsidRDefault="009F0058" w:rsidP="009F0058">
      <w:pPr>
        <w:ind w:firstLine="480"/>
        <w:jc w:val="both"/>
        <w:rPr>
          <w:rFonts w:eastAsia="標楷體" w:hAnsi="標楷體"/>
          <w:szCs w:val="28"/>
        </w:rPr>
      </w:pPr>
      <w:r w:rsidRPr="009F0058">
        <w:rPr>
          <w:rFonts w:eastAsia="標楷體" w:hAnsi="標楷體"/>
          <w:szCs w:val="28"/>
        </w:rPr>
        <w:t>投資人身為股權擁有人或管理人之責任，於</w:t>
      </w:r>
      <w:r w:rsidR="00175BAD">
        <w:rPr>
          <w:rFonts w:eastAsia="標楷體" w:hAnsi="標楷體" w:hint="eastAsia"/>
          <w:szCs w:val="28"/>
        </w:rPr>
        <w:t>西方</w:t>
      </w:r>
      <w:r w:rsidRPr="009F0058">
        <w:rPr>
          <w:rFonts w:eastAsia="標楷體" w:hAnsi="標楷體"/>
          <w:szCs w:val="28"/>
        </w:rPr>
        <w:t>國家通常稱為</w:t>
      </w:r>
      <w:r w:rsidRPr="009F0058">
        <w:rPr>
          <w:rFonts w:eastAsia="標楷體" w:hAnsi="標楷體"/>
          <w:szCs w:val="28"/>
        </w:rPr>
        <w:t>Stewardship</w:t>
      </w:r>
      <w:r w:rsidRPr="009F0058">
        <w:rPr>
          <w:rFonts w:eastAsia="標楷體" w:hAnsi="標楷體"/>
          <w:szCs w:val="28"/>
        </w:rPr>
        <w:t>，所謂機構投資人的「盡責管理」不僅限於參與股東會行使股東權，還包括透過監督及參與</w:t>
      </w:r>
      <w:r w:rsidRPr="009F0058">
        <w:rPr>
          <w:rFonts w:eastAsia="標楷體" w:hAnsi="標楷體"/>
          <w:szCs w:val="28"/>
        </w:rPr>
        <w:t>(engagement)</w:t>
      </w:r>
      <w:r w:rsidRPr="009F0058">
        <w:rPr>
          <w:rFonts w:eastAsia="標楷體" w:hAnsi="標楷體"/>
          <w:szCs w:val="28"/>
        </w:rPr>
        <w:t>之方式，關注被投資公司的策略、風險、資本架構、公司治理、投資報酬等面向，</w:t>
      </w:r>
      <w:r w:rsidR="007324D6" w:rsidRPr="009F0058">
        <w:rPr>
          <w:rFonts w:eastAsia="標楷體" w:hAnsi="標楷體"/>
          <w:szCs w:val="28"/>
        </w:rPr>
        <w:t>透過與公司進行建設性的對話與</w:t>
      </w:r>
      <w:r w:rsidR="007324D6">
        <w:rPr>
          <w:rFonts w:eastAsia="標楷體" w:hAnsi="標楷體" w:hint="eastAsia"/>
          <w:szCs w:val="28"/>
        </w:rPr>
        <w:t>互動</w:t>
      </w:r>
      <w:r w:rsidR="007324D6" w:rsidRPr="009F0058">
        <w:rPr>
          <w:rFonts w:eastAsia="標楷體" w:hAnsi="標楷體"/>
          <w:szCs w:val="28"/>
        </w:rPr>
        <w:t>，以謀求公司與股東的最大利益，</w:t>
      </w:r>
      <w:r w:rsidRPr="009F0058">
        <w:rPr>
          <w:rFonts w:eastAsia="標楷體" w:hAnsi="標楷體"/>
          <w:szCs w:val="28"/>
        </w:rPr>
        <w:t>並落實公司治理的目標，也因此盡責管理在目前國際間已經逐漸成為一種顯學，其精神與原則已經獲得絕大多數國家與機構投資人的認可，各國盡責管理相關規範請詳附件一。</w:t>
      </w:r>
    </w:p>
    <w:p w:rsidR="009F0058" w:rsidRPr="009F0058" w:rsidRDefault="009F0058" w:rsidP="009F0058">
      <w:pPr>
        <w:pStyle w:val="a3"/>
        <w:spacing w:line="276" w:lineRule="auto"/>
        <w:ind w:leftChars="0" w:left="360"/>
        <w:jc w:val="both"/>
        <w:rPr>
          <w:rFonts w:eastAsia="標楷體"/>
          <w:szCs w:val="24"/>
        </w:rPr>
      </w:pPr>
    </w:p>
    <w:p w:rsidR="00D61307" w:rsidRPr="0094738E" w:rsidRDefault="00D61307" w:rsidP="0094738E">
      <w:pPr>
        <w:pStyle w:val="a3"/>
        <w:numPr>
          <w:ilvl w:val="0"/>
          <w:numId w:val="1"/>
        </w:numPr>
        <w:ind w:leftChars="0"/>
        <w:jc w:val="both"/>
        <w:rPr>
          <w:rFonts w:eastAsia="標楷體" w:hAnsi="標楷體"/>
          <w:b/>
          <w:sz w:val="28"/>
          <w:szCs w:val="28"/>
        </w:rPr>
      </w:pPr>
      <w:r w:rsidRPr="0094738E">
        <w:rPr>
          <w:rFonts w:eastAsia="標楷體" w:hAnsi="標楷體"/>
          <w:b/>
          <w:sz w:val="28"/>
          <w:szCs w:val="28"/>
        </w:rPr>
        <w:t>國際趨勢</w:t>
      </w:r>
    </w:p>
    <w:p w:rsidR="004B44FB" w:rsidRPr="00767182" w:rsidRDefault="004B44FB" w:rsidP="00885D75">
      <w:pPr>
        <w:ind w:firstLine="480"/>
        <w:jc w:val="both"/>
        <w:rPr>
          <w:rFonts w:eastAsia="標楷體"/>
          <w:szCs w:val="24"/>
        </w:rPr>
      </w:pPr>
      <w:r w:rsidRPr="00767182">
        <w:rPr>
          <w:rFonts w:eastAsia="標楷體" w:hAnsi="標楷體"/>
          <w:szCs w:val="28"/>
        </w:rPr>
        <w:t>英國財務報告委員會</w:t>
      </w:r>
      <w:r w:rsidRPr="00767182">
        <w:rPr>
          <w:rFonts w:eastAsia="標楷體"/>
          <w:szCs w:val="28"/>
        </w:rPr>
        <w:t>(</w:t>
      </w:r>
      <w:r w:rsidRPr="00767182">
        <w:rPr>
          <w:rFonts w:eastAsia="標楷體"/>
          <w:szCs w:val="24"/>
        </w:rPr>
        <w:t>The Financial Reporting Council</w:t>
      </w:r>
      <w:r w:rsidRPr="00767182">
        <w:rPr>
          <w:rFonts w:eastAsia="標楷體" w:hAnsi="標楷體"/>
          <w:szCs w:val="24"/>
        </w:rPr>
        <w:t>，簡稱</w:t>
      </w:r>
      <w:r w:rsidRPr="00767182">
        <w:rPr>
          <w:rFonts w:eastAsia="標楷體"/>
          <w:szCs w:val="24"/>
        </w:rPr>
        <w:t>FRC</w:t>
      </w:r>
      <w:r w:rsidRPr="00767182">
        <w:rPr>
          <w:rFonts w:eastAsia="標楷體"/>
          <w:szCs w:val="28"/>
        </w:rPr>
        <w:t xml:space="preserve">) </w:t>
      </w:r>
      <w:r w:rsidRPr="00767182">
        <w:rPr>
          <w:rFonts w:eastAsia="標楷體" w:hAnsi="標楷體"/>
          <w:szCs w:val="28"/>
        </w:rPr>
        <w:t>於</w:t>
      </w:r>
      <w:r w:rsidRPr="00767182">
        <w:rPr>
          <w:rFonts w:eastAsia="標楷體"/>
          <w:szCs w:val="28"/>
        </w:rPr>
        <w:t>2010</w:t>
      </w:r>
      <w:r w:rsidRPr="00767182">
        <w:rPr>
          <w:rFonts w:eastAsia="標楷體" w:hAnsi="標楷體"/>
          <w:szCs w:val="28"/>
        </w:rPr>
        <w:t>年發布</w:t>
      </w:r>
      <w:r w:rsidR="003C5D14" w:rsidRPr="00767182">
        <w:rPr>
          <w:rFonts w:eastAsia="標楷體" w:hAnsi="標楷體"/>
        </w:rPr>
        <w:t>《</w:t>
      </w:r>
      <w:r w:rsidR="003C5D14" w:rsidRPr="00767182">
        <w:rPr>
          <w:rFonts w:eastAsia="標楷體"/>
          <w:szCs w:val="28"/>
        </w:rPr>
        <w:t xml:space="preserve">UK </w:t>
      </w:r>
      <w:r w:rsidRPr="00767182">
        <w:rPr>
          <w:rFonts w:eastAsia="標楷體"/>
          <w:szCs w:val="28"/>
        </w:rPr>
        <w:t>Stewardship Code</w:t>
      </w:r>
      <w:r w:rsidR="003C5D14" w:rsidRPr="00767182">
        <w:rPr>
          <w:rFonts w:eastAsia="標楷體" w:hAnsi="標楷體"/>
        </w:rPr>
        <w:t>》</w:t>
      </w:r>
      <w:r w:rsidRPr="00767182">
        <w:rPr>
          <w:rFonts w:eastAsia="標楷體"/>
          <w:szCs w:val="28"/>
        </w:rPr>
        <w:t>(</w:t>
      </w:r>
      <w:r w:rsidR="003C5D14" w:rsidRPr="00767182">
        <w:rPr>
          <w:rFonts w:eastAsia="標楷體" w:hAnsi="標楷體"/>
        </w:rPr>
        <w:t>英國</w:t>
      </w:r>
      <w:r w:rsidRPr="00767182">
        <w:rPr>
          <w:rFonts w:eastAsia="標楷體" w:hAnsi="標楷體"/>
          <w:szCs w:val="28"/>
        </w:rPr>
        <w:t>盡責管理守則</w:t>
      </w:r>
      <w:r w:rsidRPr="00767182">
        <w:rPr>
          <w:rFonts w:eastAsia="標楷體"/>
          <w:szCs w:val="28"/>
        </w:rPr>
        <w:t>)</w:t>
      </w:r>
      <w:r w:rsidRPr="00767182">
        <w:rPr>
          <w:rFonts w:eastAsia="標楷體" w:hAnsi="標楷體"/>
          <w:szCs w:val="28"/>
        </w:rPr>
        <w:t>，作為</w:t>
      </w:r>
      <w:r w:rsidRPr="00767182">
        <w:rPr>
          <w:rFonts w:eastAsia="標楷體"/>
          <w:szCs w:val="28"/>
        </w:rPr>
        <w:t>2008</w:t>
      </w:r>
      <w:r w:rsidRPr="00767182">
        <w:rPr>
          <w:rFonts w:eastAsia="標楷體" w:hAnsi="標楷體"/>
          <w:szCs w:val="28"/>
        </w:rPr>
        <w:t>年</w:t>
      </w:r>
      <w:r w:rsidR="00230690" w:rsidRPr="00767182">
        <w:rPr>
          <w:rFonts w:eastAsia="標楷體" w:hAnsi="標楷體"/>
          <w:szCs w:val="28"/>
        </w:rPr>
        <w:t>金融海嘯的改進</w:t>
      </w:r>
      <w:proofErr w:type="gramStart"/>
      <w:r w:rsidR="00230690" w:rsidRPr="00767182">
        <w:rPr>
          <w:rFonts w:eastAsia="標楷體" w:hAnsi="標楷體"/>
          <w:szCs w:val="28"/>
        </w:rPr>
        <w:t>措</w:t>
      </w:r>
      <w:proofErr w:type="gramEnd"/>
      <w:r w:rsidR="00230690" w:rsidRPr="00767182">
        <w:rPr>
          <w:rFonts w:eastAsia="標楷體" w:hAnsi="標楷體"/>
          <w:szCs w:val="28"/>
        </w:rPr>
        <w:t>施之一</w:t>
      </w:r>
      <w:r w:rsidR="00A210BC" w:rsidRPr="00767182">
        <w:rPr>
          <w:rFonts w:eastAsia="標楷體" w:hAnsi="標楷體"/>
          <w:szCs w:val="28"/>
        </w:rPr>
        <w:t>，</w:t>
      </w:r>
      <w:r w:rsidR="00A210BC" w:rsidRPr="00767182">
        <w:rPr>
          <w:rFonts w:eastAsia="標楷體" w:hAnsi="標楷體"/>
        </w:rPr>
        <w:t>提供機構投資人參與其所投資公司事務時應遵循的良好作業規範，以達成提升公司及其資金提供人的長期效益之目的。</w:t>
      </w:r>
      <w:r w:rsidR="00B35A55" w:rsidRPr="00767182">
        <w:rPr>
          <w:rFonts w:eastAsia="標楷體" w:hAnsi="標楷體"/>
          <w:szCs w:val="28"/>
        </w:rPr>
        <w:t>該守則</w:t>
      </w:r>
      <w:r w:rsidR="003C5D14" w:rsidRPr="00767182">
        <w:rPr>
          <w:rFonts w:eastAsia="標楷體" w:hAnsi="標楷體"/>
        </w:rPr>
        <w:t>與《</w:t>
      </w:r>
      <w:r w:rsidR="00D0382F" w:rsidRPr="00767182">
        <w:rPr>
          <w:rFonts w:eastAsia="標楷體"/>
          <w:kern w:val="0"/>
        </w:rPr>
        <w:t>UK Corporate Governance Code</w:t>
      </w:r>
      <w:r w:rsidR="003C5D14" w:rsidRPr="00767182">
        <w:rPr>
          <w:rFonts w:eastAsia="標楷體" w:hAnsi="標楷體"/>
        </w:rPr>
        <w:t>》</w:t>
      </w:r>
      <w:r w:rsidR="003C5D14" w:rsidRPr="00767182">
        <w:rPr>
          <w:rFonts w:eastAsia="標楷體" w:hAnsi="標楷體"/>
          <w:kern w:val="0"/>
        </w:rPr>
        <w:t>（</w:t>
      </w:r>
      <w:r w:rsidR="00D0382F" w:rsidRPr="00767182">
        <w:rPr>
          <w:rFonts w:eastAsia="標楷體" w:hAnsi="標楷體"/>
        </w:rPr>
        <w:t>英國公司治理守則</w:t>
      </w:r>
      <w:r w:rsidR="003C5D14" w:rsidRPr="00767182">
        <w:rPr>
          <w:rFonts w:eastAsia="標楷體" w:hAnsi="標楷體"/>
          <w:kern w:val="0"/>
        </w:rPr>
        <w:t>）</w:t>
      </w:r>
      <w:r w:rsidR="00230690" w:rsidRPr="00767182">
        <w:rPr>
          <w:rFonts w:eastAsia="標楷體" w:hAnsi="標楷體"/>
          <w:kern w:val="0"/>
        </w:rPr>
        <w:t>相輔相成</w:t>
      </w:r>
      <w:r w:rsidR="003C5D14" w:rsidRPr="00767182">
        <w:rPr>
          <w:rFonts w:eastAsia="標楷體" w:hAnsi="標楷體"/>
          <w:kern w:val="0"/>
        </w:rPr>
        <w:t>，公司治理守則係提供予公</w:t>
      </w:r>
      <w:r w:rsidR="003C5D14" w:rsidRPr="00767182">
        <w:rPr>
          <w:rFonts w:eastAsia="標楷體" w:hAnsi="標楷體"/>
          <w:kern w:val="0"/>
        </w:rPr>
        <w:lastRenderedPageBreak/>
        <w:t>司內部董事會參考，</w:t>
      </w:r>
      <w:r w:rsidR="00903B53">
        <w:rPr>
          <w:rFonts w:eastAsia="標楷體" w:hAnsi="標楷體"/>
          <w:kern w:val="0"/>
        </w:rPr>
        <w:t>促使職掌公司營運之</w:t>
      </w:r>
      <w:r w:rsidR="00A210BC" w:rsidRPr="00767182">
        <w:rPr>
          <w:rFonts w:eastAsia="標楷體" w:hAnsi="標楷體"/>
          <w:kern w:val="0"/>
        </w:rPr>
        <w:t>董事會</w:t>
      </w:r>
      <w:r w:rsidR="00903B53">
        <w:rPr>
          <w:rFonts w:eastAsia="標楷體" w:hAnsi="標楷體"/>
          <w:kern w:val="0"/>
        </w:rPr>
        <w:t>功能有效發揮</w:t>
      </w:r>
      <w:r w:rsidR="00A210BC" w:rsidRPr="00767182">
        <w:rPr>
          <w:rFonts w:eastAsia="標楷體" w:hAnsi="標楷體"/>
          <w:kern w:val="0"/>
        </w:rPr>
        <w:t>；</w:t>
      </w:r>
      <w:r w:rsidR="003C5D14" w:rsidRPr="00767182">
        <w:rPr>
          <w:rFonts w:eastAsia="標楷體" w:hAnsi="標楷體"/>
        </w:rPr>
        <w:t>盡責管理守則</w:t>
      </w:r>
      <w:proofErr w:type="gramStart"/>
      <w:r w:rsidR="003C5D14" w:rsidRPr="00767182">
        <w:rPr>
          <w:rFonts w:eastAsia="標楷體" w:hAnsi="標楷體"/>
        </w:rPr>
        <w:t>則</w:t>
      </w:r>
      <w:proofErr w:type="gramEnd"/>
      <w:r w:rsidR="003C5D14" w:rsidRPr="00767182">
        <w:rPr>
          <w:rFonts w:eastAsia="標楷體" w:hAnsi="標楷體"/>
        </w:rPr>
        <w:t>係</w:t>
      </w:r>
      <w:r w:rsidR="003C5D14" w:rsidRPr="00767182">
        <w:rPr>
          <w:rFonts w:eastAsia="標楷體" w:hAnsi="標楷體"/>
          <w:kern w:val="0"/>
        </w:rPr>
        <w:t>提供予外部機構</w:t>
      </w:r>
      <w:r w:rsidR="00903B53">
        <w:rPr>
          <w:rFonts w:eastAsia="標楷體" w:hAnsi="標楷體"/>
          <w:kern w:val="0"/>
        </w:rPr>
        <w:t>投資</w:t>
      </w:r>
      <w:r w:rsidR="003C5D14" w:rsidRPr="00767182">
        <w:rPr>
          <w:rFonts w:eastAsia="標楷體" w:hAnsi="標楷體"/>
          <w:kern w:val="0"/>
        </w:rPr>
        <w:t>人</w:t>
      </w:r>
      <w:r w:rsidR="008C4A78" w:rsidRPr="00767182">
        <w:rPr>
          <w:rFonts w:eastAsia="標楷體" w:hAnsi="標楷體"/>
          <w:kern w:val="0"/>
        </w:rPr>
        <w:t>參酌，協助</w:t>
      </w:r>
      <w:r w:rsidR="003C5D14" w:rsidRPr="00767182">
        <w:rPr>
          <w:rFonts w:eastAsia="標楷體" w:hAnsi="標楷體"/>
          <w:kern w:val="0"/>
        </w:rPr>
        <w:t>機構</w:t>
      </w:r>
      <w:r w:rsidR="00903B53">
        <w:rPr>
          <w:rFonts w:eastAsia="標楷體" w:hAnsi="標楷體"/>
          <w:kern w:val="0"/>
        </w:rPr>
        <w:t>投資</w:t>
      </w:r>
      <w:r w:rsidR="003C5D14" w:rsidRPr="00767182">
        <w:rPr>
          <w:rFonts w:eastAsia="標楷體" w:hAnsi="標楷體"/>
          <w:kern w:val="0"/>
        </w:rPr>
        <w:t>人</w:t>
      </w:r>
      <w:r w:rsidR="008C4A78" w:rsidRPr="00767182">
        <w:rPr>
          <w:rFonts w:eastAsia="標楷體" w:hAnsi="標楷體"/>
          <w:kern w:val="0"/>
        </w:rPr>
        <w:t>履行其責任，</w:t>
      </w:r>
      <w:r w:rsidR="00A210BC" w:rsidRPr="00767182">
        <w:rPr>
          <w:rFonts w:eastAsia="標楷體" w:hAnsi="標楷體"/>
          <w:kern w:val="0"/>
        </w:rPr>
        <w:t>監督董事會</w:t>
      </w:r>
      <w:r w:rsidR="008C4A78" w:rsidRPr="00767182">
        <w:rPr>
          <w:rFonts w:eastAsia="標楷體" w:hAnsi="標楷體"/>
          <w:kern w:val="0"/>
        </w:rPr>
        <w:t>運作</w:t>
      </w:r>
      <w:r w:rsidR="003C5D14" w:rsidRPr="00767182">
        <w:rPr>
          <w:rFonts w:eastAsia="標楷體" w:hAnsi="標楷體"/>
          <w:kern w:val="0"/>
        </w:rPr>
        <w:t>。</w:t>
      </w:r>
      <w:r w:rsidRPr="00767182">
        <w:rPr>
          <w:rFonts w:eastAsia="標楷體" w:hAnsi="標楷體"/>
          <w:szCs w:val="24"/>
        </w:rPr>
        <w:t>根據</w:t>
      </w:r>
      <w:r w:rsidRPr="00767182">
        <w:rPr>
          <w:rFonts w:eastAsia="標楷體"/>
          <w:szCs w:val="24"/>
        </w:rPr>
        <w:t>FRC</w:t>
      </w:r>
      <w:r w:rsidR="002B7B2C" w:rsidRPr="00767182">
        <w:rPr>
          <w:rFonts w:eastAsia="標楷體" w:hAnsi="標楷體"/>
          <w:szCs w:val="24"/>
        </w:rPr>
        <w:t>網站</w:t>
      </w:r>
      <w:r w:rsidRPr="00767182">
        <w:rPr>
          <w:rFonts w:eastAsia="標楷體" w:hAnsi="標楷體"/>
          <w:szCs w:val="24"/>
        </w:rPr>
        <w:t>顯示，</w:t>
      </w:r>
      <w:r w:rsidR="002B7B2C" w:rsidRPr="00767182">
        <w:rPr>
          <w:rFonts w:eastAsia="標楷體" w:hAnsi="標楷體"/>
          <w:szCs w:val="24"/>
        </w:rPr>
        <w:t>截至</w:t>
      </w:r>
      <w:r w:rsidR="002B7B2C" w:rsidRPr="00767182">
        <w:rPr>
          <w:rFonts w:eastAsia="標楷體"/>
          <w:szCs w:val="24"/>
        </w:rPr>
        <w:t>2015</w:t>
      </w:r>
      <w:r w:rsidR="002B7B2C" w:rsidRPr="00767182">
        <w:rPr>
          <w:rFonts w:eastAsia="標楷體" w:hAnsi="標楷體"/>
          <w:szCs w:val="24"/>
        </w:rPr>
        <w:t>年</w:t>
      </w:r>
      <w:r w:rsidR="002B7B2C" w:rsidRPr="00767182">
        <w:rPr>
          <w:rFonts w:eastAsia="標楷體"/>
          <w:szCs w:val="24"/>
        </w:rPr>
        <w:t>11</w:t>
      </w:r>
      <w:r w:rsidR="002B7B2C" w:rsidRPr="00767182">
        <w:rPr>
          <w:rFonts w:eastAsia="標楷體" w:hAnsi="標楷體"/>
          <w:szCs w:val="24"/>
        </w:rPr>
        <w:t>月</w:t>
      </w:r>
      <w:r w:rsidRPr="00767182">
        <w:rPr>
          <w:rFonts w:eastAsia="標楷體" w:hAnsi="標楷體"/>
          <w:szCs w:val="24"/>
        </w:rPr>
        <w:t>已有</w:t>
      </w:r>
      <w:r w:rsidR="002B7B2C" w:rsidRPr="00767182">
        <w:rPr>
          <w:rFonts w:eastAsia="標楷體" w:hAnsi="標楷體"/>
          <w:szCs w:val="24"/>
        </w:rPr>
        <w:t>超過</w:t>
      </w:r>
      <w:r w:rsidRPr="00767182">
        <w:rPr>
          <w:rFonts w:eastAsia="標楷體"/>
          <w:szCs w:val="24"/>
        </w:rPr>
        <w:t>300</w:t>
      </w:r>
      <w:r w:rsidRPr="00767182">
        <w:rPr>
          <w:rFonts w:eastAsia="標楷體" w:hAnsi="標楷體"/>
          <w:szCs w:val="24"/>
        </w:rPr>
        <w:t>家機構投資人簽署。</w:t>
      </w:r>
    </w:p>
    <w:p w:rsidR="004B44FB" w:rsidRPr="00767182" w:rsidRDefault="004B44FB" w:rsidP="00885D75">
      <w:pPr>
        <w:ind w:firstLine="480"/>
        <w:jc w:val="both"/>
        <w:rPr>
          <w:rFonts w:eastAsia="標楷體"/>
          <w:szCs w:val="24"/>
        </w:rPr>
      </w:pPr>
    </w:p>
    <w:p w:rsidR="00C81EE8" w:rsidRPr="00C81EE8" w:rsidRDefault="004B44FB" w:rsidP="00C81EE8">
      <w:pPr>
        <w:ind w:firstLine="480"/>
        <w:jc w:val="both"/>
        <w:rPr>
          <w:rFonts w:eastAsia="標楷體" w:hAnsi="標楷體"/>
          <w:szCs w:val="24"/>
        </w:rPr>
      </w:pPr>
      <w:r w:rsidRPr="00767182">
        <w:rPr>
          <w:rFonts w:eastAsia="標楷體" w:hAnsi="標楷體"/>
          <w:szCs w:val="24"/>
        </w:rPr>
        <w:t>繼英國之後，提升</w:t>
      </w:r>
      <w:r w:rsidRPr="00C81EE8">
        <w:rPr>
          <w:rFonts w:eastAsia="標楷體" w:hAnsi="標楷體"/>
          <w:szCs w:val="24"/>
        </w:rPr>
        <w:t>Stewardship</w:t>
      </w:r>
      <w:r w:rsidRPr="00767182">
        <w:rPr>
          <w:rFonts w:eastAsia="標楷體" w:hAnsi="標楷體"/>
          <w:szCs w:val="24"/>
        </w:rPr>
        <w:t>的想法逐漸在歐洲發展，瑞士、義大利、荷蘭等國家</w:t>
      </w:r>
      <w:r w:rsidR="00903B53">
        <w:rPr>
          <w:rFonts w:eastAsia="標楷體" w:hAnsi="標楷體"/>
          <w:szCs w:val="24"/>
        </w:rPr>
        <w:t>皆已</w:t>
      </w:r>
      <w:r w:rsidRPr="00767182">
        <w:rPr>
          <w:rFonts w:eastAsia="標楷體" w:hAnsi="標楷體"/>
          <w:szCs w:val="24"/>
        </w:rPr>
        <w:t>針對機構投資人提出類似的指引或原則，亦有許多歐盟國家鼓勵投資人簽署聯合國責任投資原則</w:t>
      </w:r>
      <w:r w:rsidRPr="00C81EE8">
        <w:rPr>
          <w:rFonts w:eastAsia="標楷體" w:hAnsi="標楷體"/>
          <w:szCs w:val="24"/>
        </w:rPr>
        <w:t>(PRI)</w:t>
      </w:r>
      <w:r w:rsidR="00C81EE8">
        <w:rPr>
          <w:rFonts w:eastAsia="標楷體" w:hAnsi="標楷體" w:hint="eastAsia"/>
          <w:szCs w:val="24"/>
        </w:rPr>
        <w:t>。</w:t>
      </w:r>
      <w:r w:rsidR="00FD79B0">
        <w:rPr>
          <w:rFonts w:eastAsia="標楷體" w:hAnsi="標楷體" w:hint="eastAsia"/>
          <w:szCs w:val="24"/>
        </w:rPr>
        <w:t>雖然美國並無類似</w:t>
      </w:r>
      <w:r w:rsidR="00175BAD">
        <w:rPr>
          <w:rFonts w:eastAsia="標楷體" w:hAnsi="標楷體" w:hint="eastAsia"/>
          <w:szCs w:val="24"/>
        </w:rPr>
        <w:t>適用整體市場的</w:t>
      </w:r>
      <w:r w:rsidR="00FD79B0" w:rsidRPr="00C81EE8">
        <w:rPr>
          <w:rFonts w:eastAsia="標楷體" w:hAnsi="標楷體"/>
          <w:szCs w:val="24"/>
        </w:rPr>
        <w:t>Stewardship</w:t>
      </w:r>
      <w:r w:rsidR="00FD79B0">
        <w:rPr>
          <w:rFonts w:eastAsia="標楷體" w:hAnsi="標楷體" w:hint="eastAsia"/>
          <w:szCs w:val="24"/>
        </w:rPr>
        <w:t xml:space="preserve"> Code</w:t>
      </w:r>
      <w:r w:rsidR="00C81EE8" w:rsidRPr="00C81EE8">
        <w:rPr>
          <w:rFonts w:eastAsia="標楷體" w:hAnsi="標楷體" w:hint="eastAsia"/>
          <w:szCs w:val="24"/>
        </w:rPr>
        <w:t>之具體規範，但是</w:t>
      </w:r>
      <w:r w:rsidR="00C81EE8" w:rsidRPr="00C81EE8">
        <w:rPr>
          <w:rFonts w:eastAsia="標楷體" w:hAnsi="標楷體"/>
          <w:szCs w:val="24"/>
        </w:rPr>
        <w:t>美國退休基金管理人與註冊基金管理人</w:t>
      </w:r>
      <w:r w:rsidR="00C81EE8" w:rsidRPr="00C81EE8">
        <w:rPr>
          <w:rFonts w:eastAsia="標楷體" w:hAnsi="標楷體" w:hint="eastAsia"/>
          <w:szCs w:val="24"/>
        </w:rPr>
        <w:t>根據美國證券交易法規與勞動部之相關法規，</w:t>
      </w:r>
      <w:r w:rsidR="002941B0">
        <w:rPr>
          <w:rFonts w:eastAsia="標楷體" w:hAnsi="標楷體" w:hint="eastAsia"/>
          <w:szCs w:val="24"/>
        </w:rPr>
        <w:t>仍</w:t>
      </w:r>
      <w:r w:rsidR="00C81EE8" w:rsidRPr="00C81EE8">
        <w:rPr>
          <w:rFonts w:eastAsia="標楷體" w:hAnsi="標楷體"/>
          <w:szCs w:val="24"/>
        </w:rPr>
        <w:t>負有</w:t>
      </w:r>
      <w:r w:rsidR="00D54120">
        <w:rPr>
          <w:rFonts w:eastAsia="標楷體" w:hAnsi="標楷體" w:hint="eastAsia"/>
          <w:szCs w:val="24"/>
        </w:rPr>
        <w:t>受託人</w:t>
      </w:r>
      <w:r w:rsidR="00C81EE8" w:rsidRPr="00C81EE8">
        <w:rPr>
          <w:rFonts w:eastAsia="標楷體" w:hAnsi="標楷體" w:hint="eastAsia"/>
          <w:szCs w:val="24"/>
        </w:rPr>
        <w:t>義務（</w:t>
      </w:r>
      <w:r w:rsidR="00C81EE8" w:rsidRPr="00C81EE8">
        <w:rPr>
          <w:rFonts w:eastAsia="標楷體" w:hAnsi="標楷體"/>
          <w:szCs w:val="24"/>
        </w:rPr>
        <w:t>fiduciary duty</w:t>
      </w:r>
      <w:r w:rsidR="00C81EE8" w:rsidRPr="00C81EE8">
        <w:rPr>
          <w:rFonts w:eastAsia="標楷體" w:hAnsi="標楷體"/>
          <w:szCs w:val="24"/>
        </w:rPr>
        <w:t>），需</w:t>
      </w:r>
      <w:r w:rsidR="00C81EE8" w:rsidRPr="00C81EE8">
        <w:rPr>
          <w:rFonts w:eastAsia="標楷體" w:hAnsi="標楷體" w:hint="eastAsia"/>
          <w:szCs w:val="24"/>
        </w:rPr>
        <w:t>妥善</w:t>
      </w:r>
      <w:r w:rsidR="00C81EE8" w:rsidRPr="00C81EE8">
        <w:rPr>
          <w:rFonts w:eastAsia="標楷體" w:hAnsi="標楷體"/>
          <w:szCs w:val="24"/>
        </w:rPr>
        <w:t>運用其</w:t>
      </w:r>
      <w:r w:rsidR="00C81EE8" w:rsidRPr="00C81EE8">
        <w:rPr>
          <w:rFonts w:eastAsia="標楷體" w:hAnsi="標楷體" w:hint="eastAsia"/>
          <w:szCs w:val="24"/>
        </w:rPr>
        <w:t>為最終受益人（</w:t>
      </w:r>
      <w:r w:rsidR="00C81EE8" w:rsidRPr="00C81EE8">
        <w:rPr>
          <w:rFonts w:eastAsia="標楷體" w:hAnsi="標楷體"/>
          <w:szCs w:val="24"/>
        </w:rPr>
        <w:t>beneficial owner</w:t>
      </w:r>
      <w:r w:rsidR="00C81EE8" w:rsidRPr="00C81EE8">
        <w:rPr>
          <w:rFonts w:eastAsia="標楷體" w:hAnsi="標楷體"/>
          <w:szCs w:val="24"/>
        </w:rPr>
        <w:t>）</w:t>
      </w:r>
      <w:r w:rsidR="00C81EE8" w:rsidRPr="00C81EE8">
        <w:rPr>
          <w:rFonts w:eastAsia="標楷體" w:hAnsi="標楷體" w:hint="eastAsia"/>
          <w:szCs w:val="24"/>
        </w:rPr>
        <w:t>之</w:t>
      </w:r>
      <w:r w:rsidR="00C81EE8" w:rsidRPr="00C81EE8">
        <w:rPr>
          <w:rFonts w:eastAsia="標楷體" w:hAnsi="標楷體"/>
          <w:szCs w:val="24"/>
        </w:rPr>
        <w:t>股</w:t>
      </w:r>
      <w:r w:rsidR="00C81EE8" w:rsidRPr="00C81EE8">
        <w:rPr>
          <w:rFonts w:eastAsia="標楷體" w:hAnsi="標楷體" w:hint="eastAsia"/>
          <w:szCs w:val="24"/>
        </w:rPr>
        <w:t>權以</w:t>
      </w:r>
      <w:r w:rsidR="00C81EE8" w:rsidRPr="00C81EE8">
        <w:rPr>
          <w:rFonts w:eastAsia="標楷體" w:hAnsi="標楷體"/>
          <w:szCs w:val="24"/>
        </w:rPr>
        <w:t>行使投票權，美國證券交易委員</w:t>
      </w:r>
      <w:r w:rsidR="00C81EE8" w:rsidRPr="00C81EE8">
        <w:rPr>
          <w:rFonts w:eastAsia="標楷體" w:hAnsi="標楷體" w:hint="eastAsia"/>
          <w:szCs w:val="24"/>
        </w:rPr>
        <w:t>會</w:t>
      </w:r>
      <w:r w:rsidR="00C81EE8" w:rsidRPr="00C81EE8">
        <w:rPr>
          <w:rFonts w:eastAsia="標楷體" w:hAnsi="標楷體"/>
          <w:szCs w:val="24"/>
        </w:rPr>
        <w:t>(SEC)</w:t>
      </w:r>
      <w:r w:rsidR="00C81EE8" w:rsidRPr="00C81EE8">
        <w:rPr>
          <w:rFonts w:eastAsia="標楷體" w:hAnsi="標楷體"/>
          <w:szCs w:val="24"/>
        </w:rPr>
        <w:t>更</w:t>
      </w:r>
      <w:r w:rsidR="00C81EE8" w:rsidRPr="00C81EE8">
        <w:rPr>
          <w:rFonts w:eastAsia="標楷體" w:hAnsi="標楷體" w:hint="eastAsia"/>
          <w:szCs w:val="24"/>
        </w:rPr>
        <w:t>要求機構</w:t>
      </w:r>
      <w:r w:rsidR="00903B53">
        <w:rPr>
          <w:rFonts w:eastAsia="標楷體" w:hAnsi="標楷體" w:hint="eastAsia"/>
          <w:szCs w:val="24"/>
        </w:rPr>
        <w:t>投資</w:t>
      </w:r>
      <w:r w:rsidR="00C81EE8" w:rsidRPr="00C81EE8">
        <w:rPr>
          <w:rFonts w:eastAsia="標楷體" w:hAnsi="標楷體" w:hint="eastAsia"/>
          <w:szCs w:val="24"/>
        </w:rPr>
        <w:t>人</w:t>
      </w:r>
      <w:r w:rsidR="00C81EE8" w:rsidRPr="00C81EE8">
        <w:rPr>
          <w:rFonts w:eastAsia="標楷體" w:hAnsi="標楷體"/>
          <w:szCs w:val="24"/>
        </w:rPr>
        <w:t>應每年</w:t>
      </w:r>
      <w:r w:rsidR="00C81EE8" w:rsidRPr="00C81EE8">
        <w:rPr>
          <w:rFonts w:eastAsia="標楷體" w:hAnsi="標楷體" w:hint="eastAsia"/>
          <w:szCs w:val="24"/>
        </w:rPr>
        <w:t>填寫</w:t>
      </w:r>
      <w:r w:rsidR="00C81EE8" w:rsidRPr="00C81EE8">
        <w:rPr>
          <w:rFonts w:eastAsia="標楷體" w:hAnsi="標楷體" w:hint="eastAsia"/>
          <w:szCs w:val="24"/>
        </w:rPr>
        <w:t>Form N-PX</w:t>
      </w:r>
      <w:r w:rsidR="00C81EE8" w:rsidRPr="00C81EE8">
        <w:rPr>
          <w:rFonts w:eastAsia="標楷體" w:hAnsi="標楷體"/>
          <w:szCs w:val="24"/>
        </w:rPr>
        <w:t>，說明如何依循</w:t>
      </w:r>
      <w:r w:rsidR="00C81EE8" w:rsidRPr="00C81EE8">
        <w:rPr>
          <w:rFonts w:eastAsia="標楷體" w:hAnsi="標楷體"/>
          <w:szCs w:val="24"/>
        </w:rPr>
        <w:t>Dodd-Frank Act</w:t>
      </w:r>
      <w:r w:rsidR="00C81EE8" w:rsidRPr="00C81EE8">
        <w:rPr>
          <w:rFonts w:eastAsia="標楷體" w:hAnsi="標楷體"/>
          <w:szCs w:val="24"/>
        </w:rPr>
        <w:t>，以受委任身分就有關經營階層薪酬的事宜進行投票</w:t>
      </w:r>
      <w:r w:rsidR="00C81EE8" w:rsidRPr="00C81EE8">
        <w:rPr>
          <w:rFonts w:eastAsia="標楷體" w:hAnsi="標楷體" w:hint="eastAsia"/>
          <w:szCs w:val="24"/>
        </w:rPr>
        <w:t>。</w:t>
      </w:r>
    </w:p>
    <w:p w:rsidR="00C81EE8" w:rsidRPr="00C81EE8" w:rsidRDefault="00C81EE8" w:rsidP="00885D75">
      <w:pPr>
        <w:ind w:firstLine="480"/>
        <w:jc w:val="both"/>
        <w:rPr>
          <w:rFonts w:eastAsia="標楷體" w:hAnsi="標楷體"/>
          <w:szCs w:val="24"/>
        </w:rPr>
      </w:pPr>
    </w:p>
    <w:p w:rsidR="00786BCD" w:rsidRPr="00767182" w:rsidRDefault="004B44FB" w:rsidP="00885D75">
      <w:pPr>
        <w:ind w:firstLine="480"/>
        <w:jc w:val="both"/>
        <w:rPr>
          <w:rFonts w:eastAsia="標楷體"/>
          <w:szCs w:val="24"/>
        </w:rPr>
      </w:pPr>
      <w:r w:rsidRPr="00767182">
        <w:rPr>
          <w:rFonts w:eastAsia="標楷體" w:hAnsi="標楷體"/>
          <w:szCs w:val="24"/>
        </w:rPr>
        <w:t>近年來，亞太地區也開始積極投入</w:t>
      </w:r>
      <w:r w:rsidR="00D54120">
        <w:rPr>
          <w:rFonts w:eastAsia="標楷體" w:hAnsi="標楷體"/>
          <w:szCs w:val="24"/>
        </w:rPr>
        <w:t>制定</w:t>
      </w:r>
      <w:r w:rsidRPr="00767182">
        <w:rPr>
          <w:rFonts w:eastAsia="標楷體"/>
          <w:szCs w:val="24"/>
        </w:rPr>
        <w:t>Stewardship Code</w:t>
      </w:r>
      <w:r w:rsidRPr="00767182">
        <w:rPr>
          <w:rFonts w:eastAsia="標楷體" w:hAnsi="標楷體"/>
          <w:szCs w:val="24"/>
        </w:rPr>
        <w:t>。日本金融廳於</w:t>
      </w:r>
      <w:r w:rsidRPr="00767182">
        <w:rPr>
          <w:rFonts w:eastAsia="標楷體"/>
          <w:szCs w:val="24"/>
        </w:rPr>
        <w:t>2014</w:t>
      </w:r>
      <w:r w:rsidRPr="00767182">
        <w:rPr>
          <w:rFonts w:eastAsia="標楷體" w:hAnsi="標楷體"/>
          <w:szCs w:val="24"/>
        </w:rPr>
        <w:t>年</w:t>
      </w:r>
      <w:r w:rsidRPr="00767182">
        <w:rPr>
          <w:rFonts w:eastAsia="標楷體"/>
          <w:szCs w:val="24"/>
        </w:rPr>
        <w:t>2</w:t>
      </w:r>
      <w:r w:rsidRPr="00767182">
        <w:rPr>
          <w:rFonts w:eastAsia="標楷體" w:hAnsi="標楷體"/>
          <w:szCs w:val="24"/>
        </w:rPr>
        <w:t>月發布</w:t>
      </w:r>
      <w:r w:rsidR="00FF265C" w:rsidRPr="00767182">
        <w:rPr>
          <w:rFonts w:eastAsia="標楷體" w:hAnsi="標楷體"/>
        </w:rPr>
        <w:t>《</w:t>
      </w:r>
      <w:r w:rsidRPr="00767182">
        <w:rPr>
          <w:rFonts w:eastAsia="標楷體" w:hAnsi="標楷體"/>
        </w:rPr>
        <w:t>盡責機構投資人原則</w:t>
      </w:r>
      <w:r w:rsidR="00FF265C" w:rsidRPr="00767182">
        <w:rPr>
          <w:rFonts w:eastAsia="標楷體" w:hAnsi="標楷體"/>
        </w:rPr>
        <w:t>》</w:t>
      </w:r>
      <w:r w:rsidRPr="00767182">
        <w:rPr>
          <w:rFonts w:eastAsia="標楷體" w:hAnsi="標楷體"/>
          <w:szCs w:val="24"/>
        </w:rPr>
        <w:t>，作為首相安</w:t>
      </w:r>
      <w:proofErr w:type="gramStart"/>
      <w:r w:rsidRPr="00767182">
        <w:rPr>
          <w:rFonts w:eastAsia="標楷體" w:hAnsi="標楷體"/>
          <w:szCs w:val="24"/>
        </w:rPr>
        <w:t>倍</w:t>
      </w:r>
      <w:proofErr w:type="gramEnd"/>
      <w:r w:rsidRPr="00767182">
        <w:rPr>
          <w:rFonts w:eastAsia="標楷體" w:hAnsi="標楷體"/>
          <w:szCs w:val="24"/>
        </w:rPr>
        <w:t>晉三「</w:t>
      </w:r>
      <w:r w:rsidRPr="00767182">
        <w:rPr>
          <w:rFonts w:eastAsia="標楷體" w:hAnsi="標楷體"/>
        </w:rPr>
        <w:t>日本振興策略」之一環；</w:t>
      </w:r>
      <w:r w:rsidRPr="00767182">
        <w:rPr>
          <w:rFonts w:eastAsia="標楷體" w:hAnsi="標楷體"/>
          <w:szCs w:val="24"/>
        </w:rPr>
        <w:t>馬來西亞</w:t>
      </w:r>
      <w:r w:rsidR="00B028C7" w:rsidRPr="00767182">
        <w:rPr>
          <w:rFonts w:eastAsia="標楷體" w:hAnsi="標楷體"/>
          <w:kern w:val="0"/>
        </w:rPr>
        <w:t>證券委員會</w:t>
      </w:r>
      <w:r w:rsidR="00B028C7" w:rsidRPr="00767182">
        <w:rPr>
          <w:rFonts w:eastAsia="標楷體"/>
          <w:kern w:val="0"/>
        </w:rPr>
        <w:t>(Securities Commission Malaysia)</w:t>
      </w:r>
      <w:r w:rsidRPr="00767182">
        <w:rPr>
          <w:rFonts w:eastAsia="標楷體" w:hAnsi="標楷體"/>
          <w:szCs w:val="24"/>
        </w:rPr>
        <w:t>與小股東保護組織</w:t>
      </w:r>
      <w:r w:rsidRPr="00767182">
        <w:rPr>
          <w:rFonts w:eastAsia="標楷體"/>
          <w:szCs w:val="24"/>
        </w:rPr>
        <w:t>(Minority Shareholder Watchdog Group)</w:t>
      </w:r>
      <w:r w:rsidRPr="00767182">
        <w:rPr>
          <w:rFonts w:eastAsia="標楷體" w:hAnsi="標楷體"/>
          <w:szCs w:val="24"/>
        </w:rPr>
        <w:t>合作，於同年</w:t>
      </w:r>
      <w:r w:rsidRPr="00767182">
        <w:rPr>
          <w:rFonts w:eastAsia="標楷體"/>
          <w:szCs w:val="24"/>
        </w:rPr>
        <w:t>6</w:t>
      </w:r>
      <w:r w:rsidRPr="00767182">
        <w:rPr>
          <w:rFonts w:eastAsia="標楷體" w:hAnsi="標楷體"/>
          <w:szCs w:val="24"/>
        </w:rPr>
        <w:t>月發布</w:t>
      </w:r>
      <w:r w:rsidR="003C5C13" w:rsidRPr="00767182">
        <w:rPr>
          <w:rFonts w:eastAsia="標楷體" w:hAnsi="標楷體"/>
        </w:rPr>
        <w:t>《</w:t>
      </w:r>
      <w:r w:rsidR="003C5C13" w:rsidRPr="00767182">
        <w:rPr>
          <w:rFonts w:eastAsia="標楷體"/>
        </w:rPr>
        <w:t>Malaysian Code for Institutional Investors</w:t>
      </w:r>
      <w:r w:rsidR="003C5C13" w:rsidRPr="00767182">
        <w:rPr>
          <w:rFonts w:eastAsia="標楷體" w:hAnsi="標楷體"/>
        </w:rPr>
        <w:t>》</w:t>
      </w:r>
      <w:r w:rsidR="003C5C13" w:rsidRPr="00767182">
        <w:rPr>
          <w:rFonts w:eastAsia="標楷體"/>
          <w:szCs w:val="24"/>
        </w:rPr>
        <w:t>(</w:t>
      </w:r>
      <w:r w:rsidR="00FE3B52" w:rsidRPr="00767182">
        <w:rPr>
          <w:rFonts w:eastAsia="標楷體" w:hAnsi="標楷體"/>
        </w:rPr>
        <w:t>馬來西亞</w:t>
      </w:r>
      <w:r w:rsidRPr="00767182">
        <w:rPr>
          <w:rFonts w:eastAsia="標楷體" w:hAnsi="標楷體"/>
        </w:rPr>
        <w:t>機構投資人守則</w:t>
      </w:r>
      <w:r w:rsidR="003C5C13" w:rsidRPr="00767182">
        <w:rPr>
          <w:rFonts w:eastAsia="標楷體"/>
          <w:szCs w:val="24"/>
        </w:rPr>
        <w:t>)</w:t>
      </w:r>
      <w:r w:rsidRPr="00767182">
        <w:rPr>
          <w:rFonts w:eastAsia="標楷體" w:hAnsi="標楷體"/>
          <w:szCs w:val="24"/>
        </w:rPr>
        <w:t>；香港證監會亦於</w:t>
      </w:r>
      <w:r w:rsidRPr="00767182">
        <w:rPr>
          <w:rFonts w:eastAsia="標楷體"/>
          <w:szCs w:val="24"/>
        </w:rPr>
        <w:t>2015</w:t>
      </w:r>
      <w:r w:rsidRPr="00767182">
        <w:rPr>
          <w:rFonts w:eastAsia="標楷體" w:hAnsi="標楷體"/>
          <w:szCs w:val="24"/>
        </w:rPr>
        <w:t>年</w:t>
      </w:r>
      <w:r w:rsidRPr="00767182">
        <w:rPr>
          <w:rFonts w:eastAsia="標楷體"/>
          <w:szCs w:val="24"/>
        </w:rPr>
        <w:t>3</w:t>
      </w:r>
      <w:r w:rsidRPr="00767182">
        <w:rPr>
          <w:rFonts w:eastAsia="標楷體" w:hAnsi="標楷體"/>
          <w:szCs w:val="24"/>
        </w:rPr>
        <w:t>月發布</w:t>
      </w:r>
      <w:r w:rsidR="00C5308A" w:rsidRPr="00767182">
        <w:rPr>
          <w:rFonts w:eastAsia="標楷體" w:hAnsi="標楷體"/>
        </w:rPr>
        <w:t>《</w:t>
      </w:r>
      <w:r w:rsidRPr="00767182">
        <w:rPr>
          <w:rFonts w:eastAsia="標楷體" w:hAnsi="標楷體"/>
          <w:szCs w:val="24"/>
        </w:rPr>
        <w:t>負責任的擁有權原則</w:t>
      </w:r>
      <w:r w:rsidR="00C5308A" w:rsidRPr="00767182">
        <w:rPr>
          <w:rFonts w:eastAsia="標楷體" w:hAnsi="標楷體"/>
        </w:rPr>
        <w:t>》</w:t>
      </w:r>
      <w:r w:rsidRPr="00767182">
        <w:rPr>
          <w:rFonts w:eastAsia="標楷體" w:hAnsi="標楷體"/>
          <w:szCs w:val="24"/>
        </w:rPr>
        <w:t>草案，並進行意見</w:t>
      </w:r>
      <w:r w:rsidR="00DD12C4">
        <w:rPr>
          <w:rFonts w:eastAsia="標楷體" w:hAnsi="標楷體"/>
          <w:szCs w:val="24"/>
        </w:rPr>
        <w:t>徵</w:t>
      </w:r>
      <w:r w:rsidRPr="00767182">
        <w:rPr>
          <w:rFonts w:eastAsia="標楷體" w:hAnsi="標楷體"/>
          <w:szCs w:val="24"/>
        </w:rPr>
        <w:t>詢，</w:t>
      </w:r>
      <w:r w:rsidR="000306E4">
        <w:rPr>
          <w:rFonts w:eastAsia="標楷體" w:hAnsi="標楷體" w:hint="eastAsia"/>
          <w:szCs w:val="24"/>
        </w:rPr>
        <w:t>目前原則內容尚在</w:t>
      </w:r>
      <w:proofErr w:type="gramStart"/>
      <w:r w:rsidR="000306E4">
        <w:rPr>
          <w:rFonts w:eastAsia="標楷體" w:hAnsi="標楷體" w:hint="eastAsia"/>
          <w:szCs w:val="24"/>
        </w:rPr>
        <w:t>研</w:t>
      </w:r>
      <w:proofErr w:type="gramEnd"/>
      <w:r w:rsidR="000306E4">
        <w:rPr>
          <w:rFonts w:eastAsia="標楷體" w:hAnsi="標楷體" w:hint="eastAsia"/>
          <w:szCs w:val="24"/>
        </w:rPr>
        <w:t>議中</w:t>
      </w:r>
      <w:r w:rsidRPr="00767182">
        <w:rPr>
          <w:rFonts w:eastAsia="標楷體" w:hAnsi="標楷體"/>
          <w:szCs w:val="24"/>
        </w:rPr>
        <w:t>。</w:t>
      </w:r>
    </w:p>
    <w:p w:rsidR="00980C7F" w:rsidRPr="00767182" w:rsidRDefault="00980C7F" w:rsidP="00980C7F">
      <w:pPr>
        <w:jc w:val="both"/>
        <w:rPr>
          <w:rFonts w:eastAsia="標楷體"/>
          <w:szCs w:val="24"/>
        </w:rPr>
      </w:pPr>
    </w:p>
    <w:p w:rsidR="000E01F0" w:rsidRPr="000E01F0" w:rsidRDefault="00980C7F" w:rsidP="000E01F0">
      <w:pPr>
        <w:pStyle w:val="a3"/>
        <w:numPr>
          <w:ilvl w:val="0"/>
          <w:numId w:val="1"/>
        </w:numPr>
        <w:ind w:leftChars="0"/>
        <w:jc w:val="both"/>
        <w:rPr>
          <w:rFonts w:eastAsia="標楷體"/>
          <w:szCs w:val="24"/>
        </w:rPr>
      </w:pPr>
      <w:r w:rsidRPr="0094738E">
        <w:rPr>
          <w:rFonts w:eastAsia="標楷體" w:hAnsi="標楷體"/>
          <w:b/>
          <w:sz w:val="28"/>
          <w:szCs w:val="28"/>
        </w:rPr>
        <w:t>我國推動「機構投資人盡責管理守則」之必要性</w:t>
      </w:r>
    </w:p>
    <w:p w:rsidR="004B44FB" w:rsidRPr="00767182" w:rsidRDefault="00786BCD" w:rsidP="005B32F6">
      <w:pPr>
        <w:ind w:firstLine="480"/>
        <w:jc w:val="both"/>
        <w:rPr>
          <w:rFonts w:eastAsia="標楷體"/>
        </w:rPr>
      </w:pPr>
      <w:r w:rsidRPr="00767182">
        <w:rPr>
          <w:rFonts w:eastAsia="標楷體" w:hAnsi="標楷體"/>
          <w:szCs w:val="24"/>
        </w:rPr>
        <w:t>由國際趨勢觀之，推動機構投資人盡責管理於提升市場之公司治理文化極其重要，</w:t>
      </w:r>
      <w:r w:rsidR="002B7B2C" w:rsidRPr="00767182">
        <w:rPr>
          <w:rFonts w:eastAsia="標楷體" w:hAnsi="標楷體"/>
          <w:kern w:val="0"/>
        </w:rPr>
        <w:t>經濟合作</w:t>
      </w:r>
      <w:r w:rsidRPr="00767182">
        <w:rPr>
          <w:rFonts w:eastAsia="標楷體" w:hAnsi="標楷體"/>
          <w:kern w:val="0"/>
        </w:rPr>
        <w:t>暨</w:t>
      </w:r>
      <w:r w:rsidR="002B7B2C" w:rsidRPr="00767182">
        <w:rPr>
          <w:rFonts w:eastAsia="標楷體" w:hAnsi="標楷體"/>
          <w:kern w:val="0"/>
        </w:rPr>
        <w:t>發展組織</w:t>
      </w:r>
      <w:r w:rsidR="002B7B2C" w:rsidRPr="00767182">
        <w:rPr>
          <w:rFonts w:eastAsia="標楷體"/>
          <w:kern w:val="0"/>
        </w:rPr>
        <w:t>(OECD)</w:t>
      </w:r>
      <w:r w:rsidR="002B7B2C" w:rsidRPr="00767182">
        <w:rPr>
          <w:rFonts w:eastAsia="標楷體" w:hAnsi="標楷體"/>
          <w:kern w:val="0"/>
        </w:rPr>
        <w:t>於</w:t>
      </w:r>
      <w:r w:rsidR="002B7B2C" w:rsidRPr="00767182">
        <w:rPr>
          <w:rFonts w:eastAsia="標楷體"/>
          <w:kern w:val="0"/>
        </w:rPr>
        <w:t>2015</w:t>
      </w:r>
      <w:r w:rsidR="002B7B2C" w:rsidRPr="00767182">
        <w:rPr>
          <w:rFonts w:eastAsia="標楷體" w:hAnsi="標楷體"/>
          <w:kern w:val="0"/>
        </w:rPr>
        <w:t>年發布</w:t>
      </w:r>
      <w:r w:rsidR="000F467C">
        <w:rPr>
          <w:rFonts w:eastAsia="標楷體" w:hAnsi="標楷體" w:hint="eastAsia"/>
          <w:kern w:val="0"/>
        </w:rPr>
        <w:t>G20/OECD</w:t>
      </w:r>
      <w:r w:rsidR="002B7B2C" w:rsidRPr="00767182">
        <w:rPr>
          <w:rFonts w:eastAsia="標楷體" w:hAnsi="標楷體"/>
          <w:kern w:val="0"/>
        </w:rPr>
        <w:t>公司治理原則，</w:t>
      </w:r>
      <w:r w:rsidR="00DD12C4">
        <w:rPr>
          <w:rFonts w:eastAsia="標楷體" w:hAnsi="標楷體"/>
          <w:kern w:val="0"/>
        </w:rPr>
        <w:t>於</w:t>
      </w:r>
      <w:r w:rsidR="002B7B2C" w:rsidRPr="00767182">
        <w:rPr>
          <w:rFonts w:eastAsia="標楷體" w:hAnsi="標楷體"/>
          <w:kern w:val="0"/>
        </w:rPr>
        <w:t>原則</w:t>
      </w:r>
      <w:r w:rsidR="002B7B2C" w:rsidRPr="00767182">
        <w:rPr>
          <w:rFonts w:eastAsia="標楷體"/>
          <w:kern w:val="0"/>
        </w:rPr>
        <w:t>III</w:t>
      </w:r>
      <w:r w:rsidR="002B7B2C" w:rsidRPr="00767182">
        <w:rPr>
          <w:rFonts w:eastAsia="標楷體" w:hAnsi="標楷體"/>
          <w:kern w:val="0"/>
        </w:rPr>
        <w:t>將機構投資人之參與納入公司治理架構</w:t>
      </w:r>
      <w:r w:rsidR="003D21CE">
        <w:rPr>
          <w:rFonts w:eastAsia="標楷體" w:hAnsi="標楷體"/>
          <w:kern w:val="0"/>
        </w:rPr>
        <w:t>之</w:t>
      </w:r>
      <w:r w:rsidR="002B7B2C" w:rsidRPr="00767182">
        <w:rPr>
          <w:rFonts w:eastAsia="標楷體" w:hAnsi="標楷體"/>
          <w:kern w:val="0"/>
        </w:rPr>
        <w:t>一環，以結合公司內外力量共同提升被投資公司、</w:t>
      </w:r>
      <w:r w:rsidR="00A206E5" w:rsidRPr="00767182">
        <w:rPr>
          <w:rFonts w:eastAsia="標楷體" w:hAnsi="標楷體"/>
          <w:kern w:val="0"/>
        </w:rPr>
        <w:t>機構</w:t>
      </w:r>
      <w:r w:rsidR="006168B0" w:rsidRPr="00767182">
        <w:rPr>
          <w:rFonts w:eastAsia="標楷體" w:hAnsi="標楷體"/>
          <w:kern w:val="0"/>
        </w:rPr>
        <w:t>投資人</w:t>
      </w:r>
      <w:r w:rsidR="002B7B2C" w:rsidRPr="00767182">
        <w:rPr>
          <w:rFonts w:eastAsia="標楷體" w:hAnsi="標楷體"/>
          <w:kern w:val="0"/>
        </w:rPr>
        <w:t>及受益人價值</w:t>
      </w:r>
      <w:r w:rsidR="00020D03" w:rsidRPr="00767182">
        <w:rPr>
          <w:rFonts w:eastAsia="標楷體" w:hAnsi="標楷體"/>
          <w:kern w:val="0"/>
        </w:rPr>
        <w:t>。</w:t>
      </w:r>
      <w:r w:rsidR="00F9166D" w:rsidRPr="00767182">
        <w:rPr>
          <w:rFonts w:eastAsia="標楷體" w:hAnsi="Times New Roman"/>
        </w:rPr>
        <w:t>金管會</w:t>
      </w:r>
      <w:r w:rsidR="00A8636C" w:rsidRPr="00767182">
        <w:rPr>
          <w:rFonts w:eastAsia="標楷體" w:hAnsi="Times New Roman"/>
        </w:rPr>
        <w:t>亦</w:t>
      </w:r>
      <w:r w:rsidR="00F9166D" w:rsidRPr="00767182">
        <w:rPr>
          <w:rFonts w:eastAsia="標楷體" w:hAnsi="Times New Roman"/>
        </w:rPr>
        <w:t>將「促進股東行動主義」列為「</w:t>
      </w:r>
      <w:r w:rsidR="00F9166D" w:rsidRPr="00767182">
        <w:rPr>
          <w:rFonts w:eastAsia="標楷體"/>
        </w:rPr>
        <w:t>2013</w:t>
      </w:r>
      <w:r w:rsidR="00F9166D" w:rsidRPr="00767182">
        <w:rPr>
          <w:rFonts w:eastAsia="標楷體" w:hAnsi="Times New Roman"/>
        </w:rPr>
        <w:t>強化我國公司治理藍圖」五大計畫</w:t>
      </w:r>
      <w:r w:rsidR="00DA067C" w:rsidRPr="00767182">
        <w:rPr>
          <w:rFonts w:eastAsia="標楷體" w:hAnsi="Times New Roman"/>
        </w:rPr>
        <w:t>項目</w:t>
      </w:r>
      <w:r w:rsidR="00F9166D" w:rsidRPr="00767182">
        <w:rPr>
          <w:rFonts w:eastAsia="標楷體" w:hAnsi="Times New Roman"/>
        </w:rPr>
        <w:t>之一，</w:t>
      </w:r>
      <w:r w:rsidR="005E3EFD" w:rsidRPr="00767182">
        <w:rPr>
          <w:rFonts w:eastAsia="標楷體" w:hAnsi="Times New Roman"/>
        </w:rPr>
        <w:t>係考量</w:t>
      </w:r>
      <w:r w:rsidR="00F9166D" w:rsidRPr="00767182">
        <w:rPr>
          <w:rFonts w:eastAsia="標楷體" w:hAnsi="Times New Roman"/>
        </w:rPr>
        <w:t>公司治理與永續發展</w:t>
      </w:r>
      <w:r w:rsidR="005E3EFD" w:rsidRPr="00767182">
        <w:rPr>
          <w:rFonts w:eastAsia="標楷體" w:hAnsi="Times New Roman"/>
        </w:rPr>
        <w:t>必須靠公司自治、法律規範以及市場機制三方配合才能達成</w:t>
      </w:r>
      <w:r w:rsidR="00F9166D" w:rsidRPr="00767182">
        <w:rPr>
          <w:rFonts w:eastAsia="標楷體" w:hAnsi="Times New Roman"/>
        </w:rPr>
        <w:t>，</w:t>
      </w:r>
      <w:r w:rsidR="005E3EFD" w:rsidRPr="00767182">
        <w:rPr>
          <w:rFonts w:eastAsia="標楷體" w:hAnsi="Times New Roman"/>
        </w:rPr>
        <w:t>因此</w:t>
      </w:r>
      <w:r w:rsidR="00F9166D" w:rsidRPr="00767182">
        <w:rPr>
          <w:rFonts w:eastAsia="標楷體" w:hAnsi="Times New Roman"/>
        </w:rPr>
        <w:t>鼓勵投資人參與</w:t>
      </w:r>
      <w:r w:rsidR="005E3EFD" w:rsidRPr="00767182">
        <w:rPr>
          <w:rFonts w:eastAsia="標楷體" w:hAnsi="Times New Roman"/>
        </w:rPr>
        <w:t>以</w:t>
      </w:r>
      <w:r w:rsidR="00175BAD">
        <w:rPr>
          <w:rFonts w:eastAsia="標楷體" w:hAnsi="Times New Roman" w:hint="eastAsia"/>
        </w:rPr>
        <w:t>促進</w:t>
      </w:r>
      <w:r w:rsidR="00FE563F" w:rsidRPr="00767182">
        <w:rPr>
          <w:rFonts w:eastAsia="標楷體" w:hAnsi="Times New Roman"/>
        </w:rPr>
        <w:t>資本市場</w:t>
      </w:r>
      <w:r w:rsidR="00175BAD">
        <w:rPr>
          <w:rFonts w:eastAsia="標楷體" w:hAnsi="Times New Roman" w:hint="eastAsia"/>
        </w:rPr>
        <w:t>之健全發展</w:t>
      </w:r>
      <w:r w:rsidR="005E3EFD" w:rsidRPr="00767182">
        <w:rPr>
          <w:rFonts w:eastAsia="標楷體" w:hAnsi="Times New Roman"/>
        </w:rPr>
        <w:t>。</w:t>
      </w:r>
    </w:p>
    <w:p w:rsidR="00D64239" w:rsidRPr="00767182" w:rsidRDefault="00D64239" w:rsidP="005B32F6">
      <w:pPr>
        <w:ind w:firstLine="480"/>
        <w:jc w:val="both"/>
        <w:rPr>
          <w:rFonts w:eastAsia="標楷體"/>
          <w:kern w:val="0"/>
        </w:rPr>
      </w:pPr>
    </w:p>
    <w:p w:rsidR="000E01F0" w:rsidRDefault="000E01F0">
      <w:pPr>
        <w:spacing w:line="276" w:lineRule="auto"/>
        <w:ind w:firstLineChars="236" w:firstLine="566"/>
        <w:jc w:val="both"/>
        <w:rPr>
          <w:rFonts w:eastAsia="標楷體" w:hAnsi="Times New Roman"/>
        </w:rPr>
      </w:pPr>
      <w:r w:rsidRPr="000E01F0">
        <w:rPr>
          <w:rFonts w:eastAsia="標楷體" w:hAnsi="Times New Roman" w:hint="eastAsia"/>
        </w:rPr>
        <w:t>根據亞洲公司治理協會</w:t>
      </w:r>
      <w:r w:rsidRPr="000E01F0">
        <w:rPr>
          <w:rFonts w:eastAsia="標楷體" w:hAnsi="Times New Roman"/>
        </w:rPr>
        <w:t>(ACGA)</w:t>
      </w:r>
      <w:r w:rsidR="00255077">
        <w:rPr>
          <w:rFonts w:eastAsia="標楷體" w:hAnsi="Times New Roman" w:hint="eastAsia"/>
        </w:rPr>
        <w:t>2014</w:t>
      </w:r>
      <w:r w:rsidR="00255077">
        <w:rPr>
          <w:rFonts w:eastAsia="標楷體" w:hAnsi="Times New Roman" w:hint="eastAsia"/>
        </w:rPr>
        <w:t>年</w:t>
      </w:r>
      <w:r w:rsidRPr="000E01F0">
        <w:rPr>
          <w:rFonts w:eastAsia="標楷體" w:hAnsi="Times New Roman" w:hint="eastAsia"/>
        </w:rPr>
        <w:t>公司治理評鑑</w:t>
      </w:r>
      <w:r w:rsidRPr="000E01F0">
        <w:rPr>
          <w:rFonts w:eastAsia="標楷體" w:hAnsi="Times New Roman"/>
        </w:rPr>
        <w:t>(CG Watch)</w:t>
      </w:r>
      <w:r w:rsidR="00255077">
        <w:rPr>
          <w:rFonts w:eastAsia="標楷體" w:hAnsi="Times New Roman" w:hint="eastAsia"/>
        </w:rPr>
        <w:t>結果</w:t>
      </w:r>
      <w:r w:rsidRPr="000E01F0">
        <w:rPr>
          <w:rFonts w:eastAsia="標楷體" w:hAnsi="Times New Roman" w:hint="eastAsia"/>
        </w:rPr>
        <w:t>，我國在「機構投資人</w:t>
      </w:r>
      <w:r w:rsidRPr="000E01F0">
        <w:rPr>
          <w:rFonts w:eastAsia="標楷體" w:hAnsi="Times New Roman"/>
        </w:rPr>
        <w:t>(</w:t>
      </w:r>
      <w:r w:rsidRPr="000E01F0">
        <w:rPr>
          <w:rFonts w:eastAsia="標楷體" w:hAnsi="Times New Roman" w:hint="eastAsia"/>
        </w:rPr>
        <w:t>包括國內外</w:t>
      </w:r>
      <w:r w:rsidRPr="000E01F0">
        <w:rPr>
          <w:rFonts w:eastAsia="標楷體" w:hAnsi="Times New Roman"/>
        </w:rPr>
        <w:t>)</w:t>
      </w:r>
      <w:r w:rsidRPr="000E01F0">
        <w:rPr>
          <w:rFonts w:eastAsia="標楷體" w:hAnsi="Times New Roman" w:hint="eastAsia"/>
        </w:rPr>
        <w:t>是否主動鼓吹建立更佳的公司治理實踐」</w:t>
      </w:r>
      <w:r w:rsidR="00255077">
        <w:rPr>
          <w:rFonts w:eastAsia="標楷體" w:hAnsi="Times New Roman" w:hint="eastAsia"/>
        </w:rPr>
        <w:t>方面，僅得到</w:t>
      </w:r>
      <w:r w:rsidR="00255077" w:rsidRPr="00255077">
        <w:rPr>
          <w:rFonts w:eastAsia="標楷體" w:hAnsi="Times New Roman"/>
        </w:rPr>
        <w:t>Marginally</w:t>
      </w:r>
      <w:r w:rsidR="00D6252D">
        <w:rPr>
          <w:rFonts w:eastAsia="標楷體" w:hAnsi="Times New Roman" w:hint="eastAsia"/>
        </w:rPr>
        <w:t>(</w:t>
      </w:r>
      <w:r w:rsidR="00D6252D">
        <w:rPr>
          <w:rFonts w:eastAsia="標楷體" w:hAnsi="Times New Roman" w:hint="eastAsia"/>
        </w:rPr>
        <w:t>約</w:t>
      </w:r>
      <w:r w:rsidR="00D6252D">
        <w:rPr>
          <w:rFonts w:eastAsia="標楷體" w:hAnsi="Times New Roman" w:hint="eastAsia"/>
        </w:rPr>
        <w:t>25%)</w:t>
      </w:r>
      <w:r w:rsidR="00255077">
        <w:rPr>
          <w:rFonts w:eastAsia="標楷體" w:hAnsi="Times New Roman" w:hint="eastAsia"/>
        </w:rPr>
        <w:t>的評價，「</w:t>
      </w:r>
      <w:r w:rsidR="00255077" w:rsidRPr="00D707BE">
        <w:rPr>
          <w:rFonts w:ascii="Arial" w:eastAsia="標楷體" w:hAnsi="Arial" w:cs="Arial" w:hint="eastAsia"/>
          <w:color w:val="000000"/>
          <w:kern w:val="0"/>
          <w:szCs w:val="24"/>
        </w:rPr>
        <w:t>機構投資人</w:t>
      </w:r>
      <w:r w:rsidR="00255077" w:rsidRPr="00D707BE">
        <w:rPr>
          <w:rFonts w:ascii="Arial" w:eastAsia="標楷體" w:hAnsi="Arial" w:cs="Arial" w:hint="eastAsia"/>
          <w:color w:val="000000"/>
          <w:kern w:val="0"/>
          <w:szCs w:val="24"/>
        </w:rPr>
        <w:t>(</w:t>
      </w:r>
      <w:r w:rsidR="00255077" w:rsidRPr="00D707BE">
        <w:rPr>
          <w:rFonts w:ascii="Arial" w:eastAsia="標楷體" w:hAnsi="Arial" w:cs="Arial" w:hint="eastAsia"/>
          <w:color w:val="000000"/>
          <w:kern w:val="0"/>
          <w:szCs w:val="24"/>
        </w:rPr>
        <w:t>包括國內外</w:t>
      </w:r>
      <w:r w:rsidR="00255077" w:rsidRPr="00D707BE">
        <w:rPr>
          <w:rFonts w:ascii="Arial" w:eastAsia="標楷體" w:hAnsi="Arial" w:cs="Arial" w:hint="eastAsia"/>
          <w:color w:val="000000"/>
          <w:kern w:val="0"/>
          <w:szCs w:val="24"/>
        </w:rPr>
        <w:t>)</w:t>
      </w:r>
      <w:r w:rsidR="00255077" w:rsidRPr="00D707BE">
        <w:rPr>
          <w:rFonts w:ascii="Arial" w:eastAsia="標楷體" w:hAnsi="Arial" w:cs="Arial" w:hint="eastAsia"/>
          <w:color w:val="000000"/>
          <w:kern w:val="0"/>
          <w:szCs w:val="24"/>
        </w:rPr>
        <w:t>是否有實現其投票權</w:t>
      </w:r>
      <w:r w:rsidR="00255077">
        <w:rPr>
          <w:rFonts w:eastAsia="標楷體" w:hAnsi="Times New Roman" w:hint="eastAsia"/>
        </w:rPr>
        <w:t>」也只有</w:t>
      </w:r>
      <w:r w:rsidR="00D6252D">
        <w:rPr>
          <w:rFonts w:eastAsia="標楷體" w:hAnsi="Times New Roman" w:hint="eastAsia"/>
        </w:rPr>
        <w:t>Somewhat(</w:t>
      </w:r>
      <w:r w:rsidR="00D6252D">
        <w:rPr>
          <w:rFonts w:eastAsia="標楷體" w:hAnsi="Times New Roman" w:hint="eastAsia"/>
        </w:rPr>
        <w:t>約</w:t>
      </w:r>
      <w:r w:rsidR="00D6252D">
        <w:rPr>
          <w:rFonts w:eastAsia="標楷體" w:hAnsi="Times New Roman" w:hint="eastAsia"/>
        </w:rPr>
        <w:t>50%)</w:t>
      </w:r>
      <w:r w:rsidR="00D6252D">
        <w:rPr>
          <w:rFonts w:eastAsia="標楷體" w:hAnsi="Times New Roman" w:hint="eastAsia"/>
        </w:rPr>
        <w:t>的評價，顯然我國在機構投資人參與公司治理方面仍有進步空間。</w:t>
      </w:r>
    </w:p>
    <w:p w:rsidR="000E01F0" w:rsidRDefault="000E01F0" w:rsidP="000E01F0">
      <w:pPr>
        <w:spacing w:line="276" w:lineRule="auto"/>
        <w:jc w:val="both"/>
        <w:rPr>
          <w:rFonts w:eastAsia="標楷體" w:hAnsi="Times New Roman"/>
        </w:rPr>
      </w:pPr>
    </w:p>
    <w:p w:rsidR="0078694A" w:rsidRDefault="00DC36C9" w:rsidP="00F66EA2">
      <w:pPr>
        <w:spacing w:line="276" w:lineRule="auto"/>
        <w:ind w:firstLineChars="236" w:firstLine="566"/>
        <w:jc w:val="both"/>
        <w:rPr>
          <w:rFonts w:eastAsia="標楷體" w:hAnsi="Times New Roman"/>
        </w:rPr>
      </w:pPr>
      <w:r w:rsidRPr="00767182">
        <w:rPr>
          <w:rFonts w:eastAsia="標楷體" w:hAnsi="Times New Roman"/>
        </w:rPr>
        <w:t>我國法規對機構投資人應盡之責任</w:t>
      </w:r>
      <w:r w:rsidR="00175BAD">
        <w:rPr>
          <w:rFonts w:eastAsia="標楷體" w:hAnsi="Times New Roman" w:hint="eastAsia"/>
        </w:rPr>
        <w:t>原已</w:t>
      </w:r>
      <w:r w:rsidRPr="00767182">
        <w:rPr>
          <w:rFonts w:eastAsia="標楷體" w:hAnsi="Times New Roman"/>
        </w:rPr>
        <w:t>有</w:t>
      </w:r>
      <w:r w:rsidR="00175BAD">
        <w:rPr>
          <w:rFonts w:eastAsia="標楷體" w:hAnsi="Times New Roman" w:hint="eastAsia"/>
        </w:rPr>
        <w:t>部分規範</w:t>
      </w:r>
      <w:r w:rsidR="00AE5A6C" w:rsidRPr="00767182">
        <w:rPr>
          <w:rFonts w:eastAsia="標楷體"/>
        </w:rPr>
        <w:t>(</w:t>
      </w:r>
      <w:r w:rsidR="00AE5A6C" w:rsidRPr="00767182">
        <w:rPr>
          <w:rFonts w:eastAsia="標楷體" w:hAnsi="Times New Roman"/>
        </w:rPr>
        <w:t>詳附件二</w:t>
      </w:r>
      <w:r w:rsidR="00AE5A6C" w:rsidRPr="00767182">
        <w:rPr>
          <w:rFonts w:eastAsia="標楷體"/>
        </w:rPr>
        <w:t>)</w:t>
      </w:r>
      <w:r w:rsidRPr="00767182">
        <w:rPr>
          <w:rFonts w:eastAsia="標楷體" w:hAnsi="Times New Roman"/>
        </w:rPr>
        <w:t>，</w:t>
      </w:r>
      <w:r w:rsidR="0078694A" w:rsidRPr="00767182">
        <w:rPr>
          <w:rFonts w:eastAsia="標楷體" w:hAnsi="Times New Roman"/>
        </w:rPr>
        <w:t>包含從事業</w:t>
      </w:r>
      <w:r w:rsidR="0078694A" w:rsidRPr="00767182">
        <w:rPr>
          <w:rFonts w:eastAsia="標楷體" w:hAnsi="Times New Roman"/>
        </w:rPr>
        <w:lastRenderedPageBreak/>
        <w:t>務應秉持</w:t>
      </w:r>
      <w:r w:rsidR="00D51AA3" w:rsidRPr="00767182">
        <w:rPr>
          <w:rFonts w:eastAsia="標楷體" w:hAnsi="Times New Roman"/>
        </w:rPr>
        <w:t>之原則</w:t>
      </w:r>
      <w:r w:rsidR="0078694A" w:rsidRPr="00767182">
        <w:rPr>
          <w:rFonts w:eastAsia="標楷體" w:hAnsi="Times New Roman"/>
        </w:rPr>
        <w:t>、利益衝突之管理、投資之分析評估及表決權之行使等，</w:t>
      </w:r>
      <w:r w:rsidR="00D51AA3" w:rsidRPr="00767182">
        <w:rPr>
          <w:rFonts w:eastAsia="標楷體" w:hAnsi="Times New Roman"/>
        </w:rPr>
        <w:t>惟相關規定散見</w:t>
      </w:r>
      <w:proofErr w:type="gramStart"/>
      <w:r w:rsidR="00D51AA3" w:rsidRPr="00767182">
        <w:rPr>
          <w:rFonts w:eastAsia="標楷體" w:hAnsi="Times New Roman"/>
        </w:rPr>
        <w:t>各處，</w:t>
      </w:r>
      <w:proofErr w:type="gramEnd"/>
      <w:r w:rsidR="00D51AA3" w:rsidRPr="00767182">
        <w:rPr>
          <w:rFonts w:eastAsia="標楷體" w:hAnsi="Times New Roman"/>
        </w:rPr>
        <w:t>缺乏上位的原則性架構，法律效力不一，且適用對象有限，諸多原因致使盡責管理之觀念推動不易，</w:t>
      </w:r>
      <w:proofErr w:type="gramStart"/>
      <w:r w:rsidR="00EB7132" w:rsidRPr="00767182">
        <w:rPr>
          <w:rFonts w:eastAsia="標楷體" w:hAnsi="Times New Roman"/>
        </w:rPr>
        <w:t>爰</w:t>
      </w:r>
      <w:proofErr w:type="gramEnd"/>
      <w:r w:rsidR="00EB7132" w:rsidRPr="00767182">
        <w:rPr>
          <w:rFonts w:eastAsia="標楷體" w:hAnsi="Times New Roman"/>
        </w:rPr>
        <w:t>參考</w:t>
      </w:r>
      <w:r w:rsidR="00904E61" w:rsidRPr="00767182">
        <w:rPr>
          <w:rFonts w:eastAsia="標楷體" w:hAnsi="Times New Roman"/>
        </w:rPr>
        <w:t>英、日、</w:t>
      </w:r>
      <w:r w:rsidR="003D21CE">
        <w:rPr>
          <w:rFonts w:eastAsia="標楷體" w:hAnsi="Times New Roman"/>
        </w:rPr>
        <w:t>馬</w:t>
      </w:r>
      <w:r w:rsidR="00904E61" w:rsidRPr="00767182">
        <w:rPr>
          <w:rFonts w:eastAsia="標楷體" w:hAnsi="Times New Roman"/>
        </w:rPr>
        <w:t>、</w:t>
      </w:r>
      <w:r w:rsidR="003D21CE">
        <w:rPr>
          <w:rFonts w:eastAsia="標楷體" w:hAnsi="Times New Roman"/>
        </w:rPr>
        <w:t>港</w:t>
      </w:r>
      <w:r w:rsidR="00904E61" w:rsidRPr="00767182">
        <w:rPr>
          <w:rFonts w:eastAsia="標楷體" w:hAnsi="Times New Roman"/>
        </w:rPr>
        <w:t>等地</w:t>
      </w:r>
      <w:r w:rsidR="00EB7132" w:rsidRPr="00767182">
        <w:rPr>
          <w:rFonts w:eastAsia="標楷體" w:hAnsi="Times New Roman"/>
        </w:rPr>
        <w:t>之經驗</w:t>
      </w:r>
      <w:r w:rsidR="00904E61" w:rsidRPr="00767182">
        <w:rPr>
          <w:rFonts w:eastAsia="標楷體"/>
        </w:rPr>
        <w:t>(</w:t>
      </w:r>
      <w:r w:rsidR="00904E61" w:rsidRPr="00767182">
        <w:rPr>
          <w:rFonts w:eastAsia="標楷體" w:hAnsi="Times New Roman"/>
        </w:rPr>
        <w:t>詳附件三</w:t>
      </w:r>
      <w:r w:rsidR="00904E61" w:rsidRPr="00767182">
        <w:rPr>
          <w:rFonts w:eastAsia="標楷體"/>
        </w:rPr>
        <w:t>)</w:t>
      </w:r>
      <w:r w:rsidR="00EB7132" w:rsidRPr="00767182">
        <w:rPr>
          <w:rFonts w:eastAsia="標楷體" w:hAnsi="Times New Roman"/>
        </w:rPr>
        <w:t>，擬具「機構投資人盡責管理守則」草案，期望提供投資人一致之原則</w:t>
      </w:r>
      <w:r w:rsidR="00EB5C60">
        <w:rPr>
          <w:rFonts w:eastAsia="標楷體" w:hAnsi="Times New Roman" w:hint="eastAsia"/>
        </w:rPr>
        <w:t>，善盡股權擁有者或管理者義務，</w:t>
      </w:r>
      <w:r w:rsidR="00A269EB">
        <w:rPr>
          <w:rFonts w:eastAsia="標楷體" w:hAnsi="Times New Roman" w:hint="eastAsia"/>
        </w:rPr>
        <w:t>積極參與公司治理，以增進客戶與最終受益人之長期價值</w:t>
      </w:r>
      <w:r w:rsidR="00EB7132" w:rsidRPr="00767182">
        <w:rPr>
          <w:rFonts w:eastAsia="標楷體" w:hAnsi="Times New Roman"/>
        </w:rPr>
        <w:t>。</w:t>
      </w:r>
    </w:p>
    <w:p w:rsidR="003936C8" w:rsidRDefault="003936C8" w:rsidP="00F66EA2">
      <w:pPr>
        <w:spacing w:line="276" w:lineRule="auto"/>
        <w:ind w:firstLineChars="236" w:firstLine="566"/>
        <w:jc w:val="both"/>
        <w:rPr>
          <w:rFonts w:eastAsia="標楷體" w:hAnsi="Times New Roman"/>
        </w:rPr>
      </w:pPr>
    </w:p>
    <w:p w:rsidR="008C37E3" w:rsidRPr="003936C8" w:rsidRDefault="000E01F0" w:rsidP="008C37E3">
      <w:pPr>
        <w:pStyle w:val="a3"/>
        <w:numPr>
          <w:ilvl w:val="0"/>
          <w:numId w:val="1"/>
        </w:numPr>
        <w:ind w:leftChars="0"/>
        <w:jc w:val="both"/>
        <w:rPr>
          <w:rFonts w:eastAsia="標楷體" w:hAnsi="標楷體"/>
          <w:b/>
          <w:sz w:val="28"/>
          <w:szCs w:val="28"/>
        </w:rPr>
      </w:pPr>
      <w:r w:rsidRPr="000E01F0">
        <w:rPr>
          <w:rFonts w:eastAsia="標楷體" w:hAnsi="標楷體"/>
          <w:b/>
          <w:sz w:val="28"/>
          <w:szCs w:val="28"/>
        </w:rPr>
        <w:t>守則</w:t>
      </w:r>
      <w:r w:rsidRPr="000E01F0">
        <w:rPr>
          <w:rFonts w:eastAsia="標楷體" w:hAnsi="標楷體" w:hint="eastAsia"/>
          <w:b/>
          <w:sz w:val="28"/>
          <w:szCs w:val="28"/>
        </w:rPr>
        <w:t>遵循對象</w:t>
      </w:r>
      <w:r w:rsidR="00AA474E">
        <w:rPr>
          <w:rFonts w:eastAsia="標楷體" w:hAnsi="標楷體" w:hint="eastAsia"/>
          <w:b/>
          <w:sz w:val="28"/>
          <w:szCs w:val="28"/>
        </w:rPr>
        <w:t>、</w:t>
      </w:r>
      <w:r w:rsidR="00AA474E" w:rsidRPr="003936C8">
        <w:rPr>
          <w:rFonts w:eastAsia="標楷體" w:hAnsi="標楷體" w:hint="eastAsia"/>
          <w:b/>
          <w:sz w:val="28"/>
          <w:szCs w:val="28"/>
        </w:rPr>
        <w:t>簽署方式及</w:t>
      </w:r>
      <w:r w:rsidR="00AA474E">
        <w:rPr>
          <w:rFonts w:eastAsia="標楷體" w:hAnsi="標楷體" w:hint="eastAsia"/>
          <w:b/>
          <w:sz w:val="28"/>
          <w:szCs w:val="28"/>
        </w:rPr>
        <w:t>效力</w:t>
      </w:r>
    </w:p>
    <w:p w:rsidR="000E01F0" w:rsidRDefault="00036EB8">
      <w:pPr>
        <w:spacing w:line="276" w:lineRule="auto"/>
        <w:ind w:firstLineChars="236" w:firstLine="566"/>
        <w:jc w:val="both"/>
        <w:rPr>
          <w:rFonts w:eastAsia="標楷體" w:hAnsi="標楷體" w:cs="新細明體"/>
          <w:kern w:val="0"/>
          <w:szCs w:val="24"/>
        </w:rPr>
      </w:pPr>
      <w:r>
        <w:rPr>
          <w:rFonts w:eastAsia="標楷體" w:hint="eastAsia"/>
        </w:rPr>
        <w:t>公司之股權可能被國</w:t>
      </w:r>
      <w:r w:rsidR="00221E21">
        <w:rPr>
          <w:rFonts w:eastAsia="標楷體" w:hint="eastAsia"/>
        </w:rPr>
        <w:t>內</w:t>
      </w:r>
      <w:r>
        <w:rPr>
          <w:rFonts w:eastAsia="標楷體" w:hint="eastAsia"/>
        </w:rPr>
        <w:t>投</w:t>
      </w:r>
      <w:r w:rsidR="00A84C41">
        <w:rPr>
          <w:rFonts w:eastAsia="標楷體" w:hint="eastAsia"/>
        </w:rPr>
        <w:t>資機構</w:t>
      </w:r>
      <w:r>
        <w:rPr>
          <w:rFonts w:eastAsia="標楷體" w:hint="eastAsia"/>
        </w:rPr>
        <w:t>或外資持有，亦可能被私人</w:t>
      </w:r>
      <w:r w:rsidR="00A84C41">
        <w:rPr>
          <w:rFonts w:eastAsia="標楷體" w:hint="eastAsia"/>
        </w:rPr>
        <w:t>機構</w:t>
      </w:r>
      <w:r>
        <w:rPr>
          <w:rFonts w:eastAsia="標楷體" w:hint="eastAsia"/>
        </w:rPr>
        <w:t>或政府基金持有，</w:t>
      </w:r>
      <w:proofErr w:type="gramStart"/>
      <w:r w:rsidR="003D21CE">
        <w:rPr>
          <w:rFonts w:eastAsia="標楷體" w:hint="eastAsia"/>
        </w:rPr>
        <w:t>爰</w:t>
      </w:r>
      <w:proofErr w:type="gramEnd"/>
      <w:r w:rsidR="003D21CE">
        <w:rPr>
          <w:rFonts w:eastAsia="標楷體" w:hint="eastAsia"/>
        </w:rPr>
        <w:t>鼓勵</w:t>
      </w:r>
      <w:r>
        <w:rPr>
          <w:rFonts w:eastAsia="標楷體" w:hint="eastAsia"/>
        </w:rPr>
        <w:t>所有</w:t>
      </w:r>
      <w:r w:rsidR="00A269EB" w:rsidRPr="00767182">
        <w:rPr>
          <w:rFonts w:eastAsia="標楷體" w:hAnsi="標楷體" w:cs="新細明體"/>
          <w:kern w:val="0"/>
          <w:szCs w:val="24"/>
        </w:rPr>
        <w:t>投資我國資本市場之股權擁有人或管理人</w:t>
      </w:r>
      <w:r>
        <w:rPr>
          <w:rFonts w:eastAsia="標楷體" w:hAnsi="標楷體" w:cs="新細明體" w:hint="eastAsia"/>
          <w:kern w:val="0"/>
          <w:szCs w:val="24"/>
        </w:rPr>
        <w:t>遵循本守則</w:t>
      </w:r>
      <w:r w:rsidR="00A269EB" w:rsidRPr="00767182">
        <w:rPr>
          <w:rFonts w:eastAsia="標楷體" w:hAnsi="標楷體" w:cs="新細明體"/>
          <w:kern w:val="0"/>
          <w:szCs w:val="24"/>
        </w:rPr>
        <w:t>，不以本國或國外、政府或私人機構為限</w:t>
      </w:r>
      <w:r>
        <w:rPr>
          <w:rFonts w:eastAsia="標楷體" w:hAnsi="標楷體" w:cs="新細明體" w:hint="eastAsia"/>
          <w:kern w:val="0"/>
          <w:szCs w:val="24"/>
        </w:rPr>
        <w:t>。</w:t>
      </w:r>
      <w:r w:rsidR="002516F9">
        <w:rPr>
          <w:rFonts w:eastAsia="標楷體" w:hAnsi="標楷體" w:cs="新細明體" w:hint="eastAsia"/>
          <w:kern w:val="0"/>
          <w:szCs w:val="24"/>
        </w:rPr>
        <w:t>機構投資人若同意遵循本守則，應</w:t>
      </w:r>
      <w:r w:rsidR="00137A43">
        <w:rPr>
          <w:rFonts w:eastAsia="標楷體" w:hAnsi="標楷體" w:cs="新細明體" w:hint="eastAsia"/>
          <w:kern w:val="0"/>
          <w:szCs w:val="24"/>
        </w:rPr>
        <w:t>「公開簽署」本守則，亦即</w:t>
      </w:r>
      <w:r w:rsidR="002516F9">
        <w:rPr>
          <w:rFonts w:eastAsia="標楷體" w:hAnsi="標楷體" w:cs="新細明體" w:hint="eastAsia"/>
          <w:kern w:val="0"/>
          <w:szCs w:val="24"/>
        </w:rPr>
        <w:t>公開發表遵循守則之聲明，</w:t>
      </w:r>
      <w:r w:rsidR="004D74B6">
        <w:rPr>
          <w:rFonts w:eastAsia="標楷體" w:hAnsi="標楷體" w:cs="新細明體" w:hint="eastAsia"/>
          <w:kern w:val="0"/>
          <w:szCs w:val="24"/>
        </w:rPr>
        <w:t>並通知公司治理中心</w:t>
      </w:r>
      <w:r w:rsidR="002516F9">
        <w:rPr>
          <w:rFonts w:eastAsia="標楷體" w:hAnsi="標楷體" w:cs="新細明體" w:hint="eastAsia"/>
          <w:kern w:val="0"/>
          <w:szCs w:val="24"/>
        </w:rPr>
        <w:t>。簽署人應於其網站</w:t>
      </w:r>
      <w:r w:rsidR="007E1A98">
        <w:rPr>
          <w:rFonts w:eastAsia="標楷體" w:hAnsi="標楷體" w:cs="新細明體" w:hint="eastAsia"/>
          <w:kern w:val="0"/>
          <w:szCs w:val="24"/>
        </w:rPr>
        <w:t>及公司治理中心指定之網站</w:t>
      </w:r>
      <w:r w:rsidR="002516F9">
        <w:rPr>
          <w:rFonts w:eastAsia="標楷體" w:hAnsi="標楷體" w:cs="新細明體" w:hint="eastAsia"/>
          <w:kern w:val="0"/>
          <w:szCs w:val="24"/>
        </w:rPr>
        <w:t>揭露遵循守則之聲明以便利害關係人知悉，亦得兼</w:t>
      </w:r>
      <w:proofErr w:type="gramStart"/>
      <w:r w:rsidR="002516F9">
        <w:rPr>
          <w:rFonts w:eastAsia="標楷體" w:hAnsi="標楷體" w:cs="新細明體" w:hint="eastAsia"/>
          <w:kern w:val="0"/>
          <w:szCs w:val="24"/>
        </w:rPr>
        <w:t>採</w:t>
      </w:r>
      <w:proofErr w:type="gramEnd"/>
      <w:r w:rsidR="002516F9">
        <w:rPr>
          <w:rFonts w:eastAsia="標楷體" w:hAnsi="標楷體" w:cs="新細明體" w:hint="eastAsia"/>
          <w:kern w:val="0"/>
          <w:szCs w:val="24"/>
        </w:rPr>
        <w:t>發布新聞稿、辦理記者會等方式</w:t>
      </w:r>
      <w:r w:rsidR="001560BE">
        <w:rPr>
          <w:rFonts w:eastAsia="標楷體" w:hAnsi="標楷體" w:cs="新細明體" w:hint="eastAsia"/>
          <w:kern w:val="0"/>
          <w:szCs w:val="24"/>
        </w:rPr>
        <w:t>達到公開聲明</w:t>
      </w:r>
      <w:r w:rsidR="003D21CE">
        <w:rPr>
          <w:rFonts w:eastAsia="標楷體" w:hAnsi="標楷體" w:cs="新細明體" w:hint="eastAsia"/>
          <w:kern w:val="0"/>
          <w:szCs w:val="24"/>
        </w:rPr>
        <w:t>之</w:t>
      </w:r>
      <w:r w:rsidR="002516F9">
        <w:rPr>
          <w:rFonts w:eastAsia="標楷體" w:hAnsi="標楷體" w:cs="新細明體" w:hint="eastAsia"/>
          <w:kern w:val="0"/>
          <w:szCs w:val="24"/>
        </w:rPr>
        <w:t>效果。</w:t>
      </w:r>
    </w:p>
    <w:p w:rsidR="000E01F0" w:rsidRPr="000E01F0" w:rsidRDefault="000E01F0">
      <w:pPr>
        <w:spacing w:line="276" w:lineRule="auto"/>
        <w:ind w:firstLineChars="236" w:firstLine="566"/>
        <w:jc w:val="both"/>
        <w:rPr>
          <w:rFonts w:eastAsia="標楷體" w:hAnsi="標楷體" w:cs="新細明體"/>
          <w:kern w:val="0"/>
          <w:szCs w:val="24"/>
        </w:rPr>
      </w:pPr>
    </w:p>
    <w:p w:rsidR="008C37E3" w:rsidRPr="003936C8" w:rsidRDefault="008277FF" w:rsidP="00F66EA2">
      <w:pPr>
        <w:spacing w:line="276" w:lineRule="auto"/>
        <w:ind w:firstLineChars="236" w:firstLine="566"/>
        <w:jc w:val="both"/>
        <w:rPr>
          <w:rFonts w:eastAsia="標楷體" w:hAnsi="Times New Roman"/>
        </w:rPr>
      </w:pPr>
      <w:r>
        <w:rPr>
          <w:rFonts w:eastAsia="標楷體" w:hint="eastAsia"/>
        </w:rPr>
        <w:t>機構投資人種類</w:t>
      </w:r>
      <w:proofErr w:type="gramStart"/>
      <w:r>
        <w:rPr>
          <w:rFonts w:eastAsia="標楷體" w:hint="eastAsia"/>
        </w:rPr>
        <w:t>眾多，</w:t>
      </w:r>
      <w:proofErr w:type="gramEnd"/>
      <w:r>
        <w:rPr>
          <w:rFonts w:eastAsia="標楷體" w:hint="eastAsia"/>
        </w:rPr>
        <w:t>所採納之投資策略及參與公司治理的方式可能不同，</w:t>
      </w:r>
      <w:r w:rsidR="000E01F0" w:rsidRPr="000E01F0">
        <w:rPr>
          <w:rFonts w:eastAsia="標楷體" w:hint="eastAsia"/>
        </w:rPr>
        <w:t>為使本守則盡可能適用於多數機構投資人，參酌</w:t>
      </w:r>
      <w:r w:rsidR="000E01F0" w:rsidRPr="000E01F0">
        <w:rPr>
          <w:rFonts w:eastAsia="標楷體" w:hAnsi="Times New Roman" w:hint="eastAsia"/>
        </w:rPr>
        <w:t>英、日、</w:t>
      </w:r>
      <w:r w:rsidR="00137A43">
        <w:rPr>
          <w:rFonts w:eastAsia="標楷體" w:hAnsi="Times New Roman" w:hint="eastAsia"/>
        </w:rPr>
        <w:t>馬</w:t>
      </w:r>
      <w:r w:rsidR="000E01F0" w:rsidRPr="000E01F0">
        <w:rPr>
          <w:rFonts w:eastAsia="標楷體" w:hAnsi="Times New Roman" w:hint="eastAsia"/>
        </w:rPr>
        <w:t>、</w:t>
      </w:r>
      <w:r w:rsidR="00137A43">
        <w:rPr>
          <w:rFonts w:eastAsia="標楷體" w:hAnsi="Times New Roman" w:hint="eastAsia"/>
        </w:rPr>
        <w:t>港</w:t>
      </w:r>
      <w:r w:rsidR="000E01F0" w:rsidRPr="000E01F0">
        <w:rPr>
          <w:rFonts w:eastAsia="標楷體" w:hAnsi="Times New Roman" w:hint="eastAsia"/>
        </w:rPr>
        <w:t>等地之相關守則，採用「遵循或解釋」之模式</w:t>
      </w:r>
      <w:r w:rsidR="00E86CBF">
        <w:rPr>
          <w:rFonts w:eastAsia="標楷體" w:hAnsi="Times New Roman" w:hint="eastAsia"/>
        </w:rPr>
        <w:t>；</w:t>
      </w:r>
      <w:r w:rsidR="000E01F0" w:rsidRPr="000E01F0">
        <w:rPr>
          <w:rFonts w:eastAsia="標楷體" w:hAnsi="Times New Roman" w:hint="eastAsia"/>
        </w:rPr>
        <w:t>機構投資人</w:t>
      </w:r>
      <w:r w:rsidR="00A96DFB">
        <w:rPr>
          <w:rFonts w:eastAsia="標楷體" w:hAnsi="Times New Roman" w:hint="eastAsia"/>
        </w:rPr>
        <w:t>公開</w:t>
      </w:r>
      <w:r w:rsidR="000E01F0" w:rsidRPr="000E01F0">
        <w:rPr>
          <w:rFonts w:eastAsia="標楷體" w:hAnsi="Times New Roman" w:hint="eastAsia"/>
        </w:rPr>
        <w:t>簽署本守則後，若針對</w:t>
      </w:r>
      <w:r w:rsidR="00E4756E">
        <w:rPr>
          <w:rFonts w:eastAsia="標楷體" w:hAnsi="Times New Roman" w:hint="eastAsia"/>
        </w:rPr>
        <w:t>部份</w:t>
      </w:r>
      <w:r w:rsidR="000E01F0" w:rsidRPr="000E01F0">
        <w:rPr>
          <w:rFonts w:eastAsia="標楷體" w:hAnsi="Times New Roman" w:hint="eastAsia"/>
        </w:rPr>
        <w:t>原則或指引無法遵循</w:t>
      </w:r>
      <w:r w:rsidR="00D622A0">
        <w:rPr>
          <w:rFonts w:eastAsia="標楷體" w:hAnsi="Times New Roman" w:hint="eastAsia"/>
        </w:rPr>
        <w:t>(</w:t>
      </w:r>
      <w:r w:rsidR="00D622A0">
        <w:rPr>
          <w:rFonts w:eastAsia="標楷體" w:hAnsi="Times New Roman" w:hint="eastAsia"/>
        </w:rPr>
        <w:t>例如因法令規定無法針對特定議案進行投票</w:t>
      </w:r>
      <w:r w:rsidR="00D622A0">
        <w:rPr>
          <w:rFonts w:eastAsia="標楷體" w:hAnsi="Times New Roman" w:hint="eastAsia"/>
        </w:rPr>
        <w:t>)</w:t>
      </w:r>
      <w:r w:rsidR="000E01F0" w:rsidRPr="000E01F0">
        <w:rPr>
          <w:rFonts w:eastAsia="標楷體" w:hAnsi="Times New Roman" w:hint="eastAsia"/>
        </w:rPr>
        <w:t>，</w:t>
      </w:r>
      <w:r w:rsidR="00A54435">
        <w:rPr>
          <w:rFonts w:eastAsia="標楷體" w:hAnsi="Times New Roman" w:hint="eastAsia"/>
        </w:rPr>
        <w:t>簽署人僅需</w:t>
      </w:r>
      <w:r w:rsidR="000E01F0" w:rsidRPr="000E01F0">
        <w:rPr>
          <w:rFonts w:eastAsia="標楷體" w:hAnsi="Times New Roman" w:hint="eastAsia"/>
        </w:rPr>
        <w:t>於其官方網站</w:t>
      </w:r>
      <w:r w:rsidR="005A2D91">
        <w:rPr>
          <w:rFonts w:eastAsia="標楷體" w:hAnsi="Times New Roman" w:hint="eastAsia"/>
        </w:rPr>
        <w:t>及公司治理中心指定之網站</w:t>
      </w:r>
      <w:r w:rsidR="00912B75">
        <w:rPr>
          <w:rFonts w:eastAsia="標楷體" w:hAnsi="Times New Roman" w:hint="eastAsia"/>
        </w:rPr>
        <w:t>公開解釋</w:t>
      </w:r>
      <w:r w:rsidR="00452D0B">
        <w:rPr>
          <w:rFonts w:eastAsia="標楷體" w:hAnsi="Times New Roman" w:hint="eastAsia"/>
        </w:rPr>
        <w:t>其原因</w:t>
      </w:r>
      <w:r w:rsidR="00A54435">
        <w:rPr>
          <w:rFonts w:eastAsia="標楷體" w:hAnsi="Times New Roman" w:hint="eastAsia"/>
        </w:rPr>
        <w:t>，並不會被認定為未盡責管理</w:t>
      </w:r>
      <w:r w:rsidR="00295AA9">
        <w:rPr>
          <w:rFonts w:eastAsia="標楷體" w:hAnsi="Times New Roman" w:hint="eastAsia"/>
        </w:rPr>
        <w:t>，惟簽署人務須秉持誠信透明揭露相關事項</w:t>
      </w:r>
      <w:r w:rsidR="000E01F0" w:rsidRPr="000E01F0">
        <w:rPr>
          <w:rFonts w:eastAsia="標楷體" w:hAnsi="Times New Roman" w:hint="eastAsia"/>
        </w:rPr>
        <w:t>。</w:t>
      </w:r>
    </w:p>
    <w:p w:rsidR="004B44FB" w:rsidRPr="00884969" w:rsidRDefault="00884969" w:rsidP="00884969">
      <w:pPr>
        <w:widowControl/>
        <w:rPr>
          <w:rFonts w:eastAsia="標楷體"/>
        </w:rPr>
      </w:pPr>
      <w:r>
        <w:rPr>
          <w:rFonts w:eastAsia="標楷體"/>
        </w:rPr>
        <w:br w:type="page"/>
      </w:r>
    </w:p>
    <w:p w:rsidR="004C4FA6" w:rsidRPr="0094738E" w:rsidRDefault="004C4FA6" w:rsidP="00885D75">
      <w:pPr>
        <w:pStyle w:val="a3"/>
        <w:numPr>
          <w:ilvl w:val="0"/>
          <w:numId w:val="1"/>
        </w:numPr>
        <w:ind w:leftChars="0"/>
        <w:jc w:val="both"/>
        <w:rPr>
          <w:rFonts w:eastAsia="標楷體" w:hAnsi="標楷體"/>
          <w:b/>
          <w:sz w:val="28"/>
          <w:szCs w:val="28"/>
        </w:rPr>
      </w:pPr>
      <w:r w:rsidRPr="0094738E">
        <w:rPr>
          <w:rFonts w:eastAsia="標楷體" w:hAnsi="標楷體"/>
          <w:b/>
          <w:sz w:val="28"/>
          <w:szCs w:val="28"/>
        </w:rPr>
        <w:lastRenderedPageBreak/>
        <w:t>守則</w:t>
      </w:r>
      <w:r w:rsidR="00560D39" w:rsidRPr="0094738E">
        <w:rPr>
          <w:rFonts w:eastAsia="標楷體" w:hAnsi="標楷體"/>
          <w:b/>
          <w:sz w:val="28"/>
          <w:szCs w:val="28"/>
        </w:rPr>
        <w:t>草案</w:t>
      </w:r>
    </w:p>
    <w:p w:rsidR="00A8114F" w:rsidRPr="00767182" w:rsidRDefault="00A8114F" w:rsidP="00A8114F">
      <w:pPr>
        <w:pStyle w:val="a3"/>
        <w:ind w:leftChars="0" w:left="360"/>
        <w:jc w:val="both"/>
        <w:rPr>
          <w:rFonts w:eastAsia="標楷體"/>
        </w:rPr>
      </w:pPr>
    </w:p>
    <w:tbl>
      <w:tblPr>
        <w:tblW w:w="5002" w:type="pct"/>
        <w:tblLayout w:type="fixed"/>
        <w:tblCellMar>
          <w:left w:w="28" w:type="dxa"/>
          <w:right w:w="28" w:type="dxa"/>
        </w:tblCellMar>
        <w:tblLook w:val="04A0"/>
      </w:tblPr>
      <w:tblGrid>
        <w:gridCol w:w="76"/>
        <w:gridCol w:w="76"/>
        <w:gridCol w:w="1160"/>
        <w:gridCol w:w="7053"/>
      </w:tblGrid>
      <w:tr w:rsidR="00F75CF1" w:rsidRPr="00466BCB" w:rsidTr="0094738E">
        <w:trPr>
          <w:trHeight w:val="360"/>
        </w:trPr>
        <w:tc>
          <w:tcPr>
            <w:tcW w:w="5000" w:type="pct"/>
            <w:gridSpan w:val="4"/>
            <w:tcBorders>
              <w:top w:val="nil"/>
              <w:left w:val="nil"/>
              <w:bottom w:val="nil"/>
              <w:right w:val="nil"/>
            </w:tcBorders>
            <w:shd w:val="clear" w:color="auto" w:fill="auto"/>
            <w:noWrap/>
            <w:vAlign w:val="center"/>
            <w:hideMark/>
          </w:tcPr>
          <w:p w:rsidR="00F75CF1" w:rsidRPr="00466BCB" w:rsidRDefault="00F75CF1" w:rsidP="00F75CF1">
            <w:pPr>
              <w:widowControl/>
              <w:jc w:val="center"/>
              <w:rPr>
                <w:rFonts w:eastAsia="標楷體" w:cs="新細明體"/>
                <w:b/>
                <w:bCs/>
                <w:kern w:val="0"/>
                <w:szCs w:val="24"/>
              </w:rPr>
            </w:pPr>
            <w:bookmarkStart w:id="0" w:name="RANGE!A1:D45"/>
            <w:r w:rsidRPr="00466BCB">
              <w:rPr>
                <w:rFonts w:eastAsia="標楷體" w:hAnsi="標楷體" w:cs="新細明體"/>
                <w:b/>
                <w:bCs/>
                <w:kern w:val="0"/>
                <w:szCs w:val="24"/>
              </w:rPr>
              <w:t>「機構投資人盡責管理守則」草案</w:t>
            </w:r>
            <w:bookmarkEnd w:id="0"/>
          </w:p>
        </w:tc>
      </w:tr>
      <w:tr w:rsidR="00B57F87" w:rsidRPr="00466BCB" w:rsidTr="0094738E">
        <w:trPr>
          <w:trHeight w:val="372"/>
        </w:trPr>
        <w:tc>
          <w:tcPr>
            <w:tcW w:w="5000" w:type="pct"/>
            <w:gridSpan w:val="4"/>
            <w:tcBorders>
              <w:top w:val="nil"/>
              <w:left w:val="nil"/>
              <w:bottom w:val="nil"/>
              <w:right w:val="nil"/>
            </w:tcBorders>
            <w:shd w:val="clear" w:color="auto" w:fill="auto"/>
            <w:noWrap/>
            <w:hideMark/>
          </w:tcPr>
          <w:p w:rsidR="00B57F87" w:rsidRPr="00466BCB" w:rsidRDefault="00B57F87" w:rsidP="00F75CF1">
            <w:pPr>
              <w:widowControl/>
              <w:rPr>
                <w:rFonts w:eastAsia="標楷體" w:cs="新細明體"/>
                <w:kern w:val="0"/>
                <w:szCs w:val="24"/>
              </w:rPr>
            </w:pPr>
            <w:r w:rsidRPr="00466BCB">
              <w:rPr>
                <w:rFonts w:eastAsia="標楷體" w:hAnsi="標楷體" w:cs="新細明體"/>
                <w:b/>
                <w:bCs/>
                <w:kern w:val="0"/>
                <w:szCs w:val="24"/>
              </w:rPr>
              <w:t>守則目的</w:t>
            </w:r>
          </w:p>
        </w:tc>
      </w:tr>
      <w:tr w:rsidR="00F75CF1" w:rsidRPr="00466BCB" w:rsidTr="0094738E">
        <w:trPr>
          <w:trHeight w:val="936"/>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F75CF1" w:rsidP="003E7E1D">
            <w:pPr>
              <w:widowControl/>
              <w:rPr>
                <w:rFonts w:eastAsia="標楷體" w:cs="新細明體"/>
                <w:kern w:val="0"/>
                <w:szCs w:val="24"/>
              </w:rPr>
            </w:pPr>
            <w:r w:rsidRPr="00466BCB">
              <w:rPr>
                <w:rFonts w:eastAsia="標楷體" w:hAnsi="標楷體" w:cs="新細明體"/>
                <w:kern w:val="0"/>
                <w:szCs w:val="24"/>
              </w:rPr>
              <w:t>為促進機構投資人善盡股權擁有人或管理人責任，協助被投資公司強化公司治理，以增進</w:t>
            </w:r>
            <w:r w:rsidR="00022808">
              <w:rPr>
                <w:rFonts w:eastAsia="標楷體" w:hAnsi="標楷體" w:cs="新細明體"/>
                <w:kern w:val="0"/>
                <w:szCs w:val="24"/>
              </w:rPr>
              <w:t>客戶或最終受益人之長期</w:t>
            </w:r>
            <w:r w:rsidRPr="00466BCB">
              <w:rPr>
                <w:rFonts w:eastAsia="標楷體" w:hAnsi="標楷體" w:cs="新細明體"/>
                <w:kern w:val="0"/>
                <w:szCs w:val="24"/>
              </w:rPr>
              <w:t>價值，特制</w:t>
            </w:r>
            <w:r w:rsidR="004008D4">
              <w:rPr>
                <w:rFonts w:eastAsia="標楷體" w:hAnsi="標楷體" w:cs="新細明體"/>
                <w:kern w:val="0"/>
                <w:szCs w:val="24"/>
              </w:rPr>
              <w:t>定</w:t>
            </w:r>
            <w:r w:rsidRPr="00466BCB">
              <w:rPr>
                <w:rFonts w:eastAsia="標楷體" w:hAnsi="標楷體" w:cs="新細明體"/>
                <w:kern w:val="0"/>
                <w:szCs w:val="24"/>
              </w:rPr>
              <w:t>本守則。</w:t>
            </w:r>
          </w:p>
        </w:tc>
      </w:tr>
      <w:tr w:rsidR="00F75CF1" w:rsidRPr="00466BCB" w:rsidTr="0094738E">
        <w:trPr>
          <w:trHeight w:val="1248"/>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106802" w:rsidP="00022808">
            <w:pPr>
              <w:widowControl/>
              <w:rPr>
                <w:rFonts w:eastAsia="標楷體" w:cs="新細明體"/>
                <w:kern w:val="0"/>
                <w:szCs w:val="24"/>
              </w:rPr>
            </w:pPr>
            <w:r>
              <w:rPr>
                <w:rFonts w:eastAsia="標楷體" w:hAnsi="標楷體" w:cs="新細明體"/>
                <w:kern w:val="0"/>
                <w:szCs w:val="24"/>
              </w:rPr>
              <w:t>機構投資人不因遵循本守則而得以管理被投資公司事務，或禁止</w:t>
            </w:r>
            <w:r w:rsidR="00022808">
              <w:rPr>
                <w:rFonts w:eastAsia="標楷體" w:hAnsi="標楷體" w:cs="新細明體" w:hint="eastAsia"/>
                <w:kern w:val="0"/>
                <w:szCs w:val="24"/>
              </w:rPr>
              <w:t>其</w:t>
            </w:r>
            <w:proofErr w:type="gramStart"/>
            <w:r>
              <w:rPr>
                <w:rFonts w:eastAsia="標楷體" w:hAnsi="標楷體" w:cs="新細明體"/>
                <w:kern w:val="0"/>
                <w:szCs w:val="24"/>
              </w:rPr>
              <w:t>出脫被投資</w:t>
            </w:r>
            <w:proofErr w:type="gramEnd"/>
            <w:r>
              <w:rPr>
                <w:rFonts w:eastAsia="標楷體" w:hAnsi="標楷體" w:cs="新細明體"/>
                <w:kern w:val="0"/>
                <w:szCs w:val="24"/>
              </w:rPr>
              <w:t>公司股權。</w:t>
            </w:r>
          </w:p>
        </w:tc>
      </w:tr>
      <w:tr w:rsidR="00B57F87" w:rsidRPr="00466BCB" w:rsidTr="0094738E">
        <w:trPr>
          <w:trHeight w:val="372"/>
        </w:trPr>
        <w:tc>
          <w:tcPr>
            <w:tcW w:w="5000" w:type="pct"/>
            <w:gridSpan w:val="4"/>
            <w:tcBorders>
              <w:top w:val="nil"/>
              <w:left w:val="nil"/>
              <w:bottom w:val="nil"/>
              <w:right w:val="nil"/>
            </w:tcBorders>
            <w:shd w:val="clear" w:color="auto" w:fill="auto"/>
            <w:noWrap/>
            <w:hideMark/>
          </w:tcPr>
          <w:p w:rsidR="00B57F87" w:rsidRPr="00466BCB" w:rsidRDefault="00B57F87" w:rsidP="00F75CF1">
            <w:pPr>
              <w:widowControl/>
              <w:rPr>
                <w:rFonts w:eastAsia="標楷體" w:cs="新細明體"/>
                <w:kern w:val="0"/>
                <w:szCs w:val="24"/>
              </w:rPr>
            </w:pPr>
            <w:r w:rsidRPr="00466BCB">
              <w:rPr>
                <w:rFonts w:eastAsia="標楷體" w:hAnsi="標楷體" w:cs="新細明體"/>
                <w:b/>
                <w:bCs/>
                <w:kern w:val="0"/>
                <w:szCs w:val="24"/>
              </w:rPr>
              <w:t>機構投資人</w:t>
            </w:r>
          </w:p>
        </w:tc>
      </w:tr>
      <w:tr w:rsidR="00F75CF1" w:rsidRPr="00466BCB" w:rsidTr="0094738E">
        <w:trPr>
          <w:trHeight w:val="936"/>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F75CF1" w:rsidP="00110325">
            <w:pPr>
              <w:widowControl/>
              <w:rPr>
                <w:rFonts w:eastAsia="標楷體" w:cs="新細明體"/>
                <w:kern w:val="0"/>
                <w:szCs w:val="24"/>
              </w:rPr>
            </w:pPr>
            <w:r w:rsidRPr="00466BCB">
              <w:rPr>
                <w:rFonts w:eastAsia="標楷體" w:hAnsi="標楷體" w:cs="新細明體"/>
                <w:kern w:val="0"/>
                <w:szCs w:val="24"/>
              </w:rPr>
              <w:t>本守則所稱機構投資人，係指投資我國資本市場之股權擁有人或管理人，不以本國或國外、政府或私人機構為限。</w:t>
            </w:r>
          </w:p>
        </w:tc>
      </w:tr>
      <w:tr w:rsidR="00F75CF1" w:rsidRPr="00466BCB" w:rsidTr="0094738E">
        <w:trPr>
          <w:trHeight w:val="936"/>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AE72C1" w:rsidP="00F75CF1">
            <w:pPr>
              <w:widowControl/>
              <w:rPr>
                <w:rFonts w:eastAsia="標楷體" w:cs="新細明體"/>
                <w:kern w:val="0"/>
                <w:szCs w:val="24"/>
              </w:rPr>
            </w:pPr>
            <w:r>
              <w:rPr>
                <w:rFonts w:eastAsia="標楷體" w:hAnsi="標楷體" w:cs="新細明體"/>
                <w:kern w:val="0"/>
                <w:szCs w:val="24"/>
              </w:rPr>
              <w:t>所謂</w:t>
            </w:r>
            <w:r>
              <w:rPr>
                <w:rFonts w:eastAsia="標楷體" w:hAnsi="標楷體" w:cs="新細明體" w:hint="eastAsia"/>
                <w:kern w:val="0"/>
                <w:szCs w:val="24"/>
              </w:rPr>
              <w:t>股權</w:t>
            </w:r>
            <w:r w:rsidR="00F75CF1" w:rsidRPr="00466BCB">
              <w:rPr>
                <w:rFonts w:eastAsia="標楷體" w:hAnsi="標楷體" w:cs="新細明體"/>
                <w:kern w:val="0"/>
                <w:szCs w:val="24"/>
              </w:rPr>
              <w:t>擁有人，係指運用自有資金或集結受益人資金，以進行投資者，例如退休基金、保險、投資信託等。</w:t>
            </w:r>
          </w:p>
        </w:tc>
      </w:tr>
      <w:tr w:rsidR="00F75CF1" w:rsidRPr="00466BCB" w:rsidTr="0094738E">
        <w:trPr>
          <w:trHeight w:val="936"/>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AE72C1" w:rsidP="00F75CF1">
            <w:pPr>
              <w:widowControl/>
              <w:rPr>
                <w:rFonts w:eastAsia="標楷體" w:cs="新細明體"/>
                <w:kern w:val="0"/>
                <w:szCs w:val="24"/>
              </w:rPr>
            </w:pPr>
            <w:r>
              <w:rPr>
                <w:rFonts w:eastAsia="標楷體" w:hAnsi="標楷體" w:cs="新細明體"/>
                <w:kern w:val="0"/>
                <w:szCs w:val="24"/>
              </w:rPr>
              <w:t>所謂</w:t>
            </w:r>
            <w:r>
              <w:rPr>
                <w:rFonts w:eastAsia="標楷體" w:hAnsi="標楷體" w:cs="新細明體" w:hint="eastAsia"/>
                <w:kern w:val="0"/>
                <w:szCs w:val="24"/>
              </w:rPr>
              <w:t>股權</w:t>
            </w:r>
            <w:r w:rsidR="00D71FD9">
              <w:rPr>
                <w:rFonts w:eastAsia="標楷體" w:hAnsi="標楷體" w:cs="新細明體"/>
                <w:kern w:val="0"/>
                <w:szCs w:val="24"/>
              </w:rPr>
              <w:t>管理人，係指受客戶委託管理資金，以進行投資者，例如受</w:t>
            </w:r>
            <w:r w:rsidR="00D71FD9">
              <w:rPr>
                <w:rFonts w:eastAsia="標楷體" w:hAnsi="標楷體" w:cs="新細明體" w:hint="eastAsia"/>
                <w:kern w:val="0"/>
                <w:szCs w:val="24"/>
              </w:rPr>
              <w:t>股權</w:t>
            </w:r>
            <w:r w:rsidR="00F75CF1" w:rsidRPr="00466BCB">
              <w:rPr>
                <w:rFonts w:eastAsia="標楷體" w:hAnsi="標楷體" w:cs="新細明體"/>
                <w:kern w:val="0"/>
                <w:szCs w:val="24"/>
              </w:rPr>
              <w:t>擁有人全權委託投資者。</w:t>
            </w:r>
          </w:p>
        </w:tc>
      </w:tr>
      <w:tr w:rsidR="00F75CF1" w:rsidRPr="00466BCB" w:rsidTr="0094738E">
        <w:trPr>
          <w:trHeight w:val="372"/>
        </w:trPr>
        <w:tc>
          <w:tcPr>
            <w:tcW w:w="5000" w:type="pct"/>
            <w:gridSpan w:val="4"/>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守則之</w:t>
            </w:r>
            <w:r w:rsidR="003D73F3" w:rsidRPr="00466BCB">
              <w:rPr>
                <w:rFonts w:eastAsia="標楷體" w:hAnsi="標楷體" w:cs="新細明體" w:hint="eastAsia"/>
                <w:b/>
                <w:bCs/>
                <w:kern w:val="0"/>
                <w:szCs w:val="24"/>
              </w:rPr>
              <w:t>公開</w:t>
            </w:r>
            <w:r w:rsidRPr="00466BCB">
              <w:rPr>
                <w:rFonts w:eastAsia="標楷體" w:hAnsi="標楷體" w:cs="新細明體"/>
                <w:b/>
                <w:bCs/>
                <w:kern w:val="0"/>
                <w:szCs w:val="24"/>
              </w:rPr>
              <w:t>簽署與揭露</w:t>
            </w:r>
          </w:p>
        </w:tc>
      </w:tr>
      <w:tr w:rsidR="00F75CF1" w:rsidRPr="00466BCB" w:rsidTr="0094738E">
        <w:trPr>
          <w:trHeight w:val="1248"/>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F75CF1" w:rsidP="003E7E1D">
            <w:pPr>
              <w:widowControl/>
              <w:rPr>
                <w:rFonts w:eastAsia="標楷體" w:cs="新細明體"/>
                <w:kern w:val="0"/>
                <w:szCs w:val="24"/>
              </w:rPr>
            </w:pPr>
            <w:r w:rsidRPr="00466BCB">
              <w:rPr>
                <w:rFonts w:eastAsia="標楷體" w:hAnsi="標楷體" w:cs="新細明體"/>
                <w:kern w:val="0"/>
                <w:szCs w:val="24"/>
              </w:rPr>
              <w:t>機構投資人宜公開簽署本守則以示遵循。機構投資人得以</w:t>
            </w:r>
            <w:r w:rsidR="00E14F18">
              <w:rPr>
                <w:rFonts w:eastAsia="標楷體" w:hAnsi="標楷體" w:cs="新細明體" w:hint="eastAsia"/>
                <w:kern w:val="0"/>
                <w:szCs w:val="24"/>
              </w:rPr>
              <w:t>其所屬</w:t>
            </w:r>
            <w:r w:rsidRPr="00466BCB">
              <w:rPr>
                <w:rFonts w:eastAsia="標楷體" w:hAnsi="標楷體" w:cs="新細明體"/>
                <w:kern w:val="0"/>
                <w:szCs w:val="24"/>
              </w:rPr>
              <w:t>集團或個別公司</w:t>
            </w:r>
            <w:r w:rsidR="00E14F18">
              <w:rPr>
                <w:rFonts w:eastAsia="標楷體" w:hAnsi="標楷體" w:cs="新細明體" w:hint="eastAsia"/>
                <w:kern w:val="0"/>
                <w:szCs w:val="24"/>
              </w:rPr>
              <w:t>等</w:t>
            </w:r>
            <w:r w:rsidRPr="00466BCB">
              <w:rPr>
                <w:rFonts w:eastAsia="標楷體" w:hAnsi="標楷體" w:cs="新細明體"/>
                <w:kern w:val="0"/>
                <w:szCs w:val="24"/>
              </w:rPr>
              <w:t>名義</w:t>
            </w:r>
            <w:r w:rsidR="003D73F3" w:rsidRPr="00466BCB">
              <w:rPr>
                <w:rFonts w:eastAsia="標楷體" w:hAnsi="標楷體" w:cs="新細明體" w:hint="eastAsia"/>
                <w:kern w:val="0"/>
                <w:szCs w:val="24"/>
              </w:rPr>
              <w:t>公開</w:t>
            </w:r>
            <w:r w:rsidRPr="00466BCB">
              <w:rPr>
                <w:rFonts w:eastAsia="標楷體" w:hAnsi="標楷體" w:cs="新細明體"/>
                <w:kern w:val="0"/>
                <w:szCs w:val="24"/>
              </w:rPr>
              <w:t>簽署本守則。所謂公開簽署，係指機構投資人於其官方網站揭露遵循本守則之聲明，並通知公司治理中心，而為簽署人。</w:t>
            </w:r>
          </w:p>
        </w:tc>
      </w:tr>
      <w:tr w:rsidR="00F75CF1" w:rsidRPr="00466BCB" w:rsidTr="0094738E">
        <w:trPr>
          <w:trHeight w:val="936"/>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F75CF1" w:rsidP="00692927">
            <w:pPr>
              <w:widowControl/>
              <w:rPr>
                <w:rFonts w:eastAsia="標楷體" w:cs="新細明體"/>
                <w:kern w:val="0"/>
                <w:szCs w:val="24"/>
              </w:rPr>
            </w:pPr>
            <w:r w:rsidRPr="00466BCB">
              <w:rPr>
                <w:rFonts w:eastAsia="標楷體" w:hAnsi="標楷體" w:cs="新細明體"/>
                <w:kern w:val="0"/>
                <w:szCs w:val="24"/>
              </w:rPr>
              <w:t>簽署人應秉持誠信，於其官方網站</w:t>
            </w:r>
            <w:r w:rsidR="00692927" w:rsidRPr="00466BCB">
              <w:rPr>
                <w:rFonts w:eastAsia="標楷體" w:hAnsi="標楷體" w:cs="新細明體" w:hint="eastAsia"/>
                <w:kern w:val="0"/>
                <w:szCs w:val="24"/>
              </w:rPr>
              <w:t>及公司治理中心指定之網站</w:t>
            </w:r>
            <w:r w:rsidRPr="00466BCB">
              <w:rPr>
                <w:rFonts w:eastAsia="標楷體" w:hAnsi="標楷體" w:cs="新細明體"/>
                <w:kern w:val="0"/>
                <w:szCs w:val="24"/>
              </w:rPr>
              <w:t>揭露本守則所要求揭露之事項。</w:t>
            </w:r>
          </w:p>
        </w:tc>
      </w:tr>
      <w:tr w:rsidR="00F75CF1" w:rsidRPr="00466BCB" w:rsidTr="0094738E">
        <w:trPr>
          <w:trHeight w:val="372"/>
        </w:trPr>
        <w:tc>
          <w:tcPr>
            <w:tcW w:w="5000" w:type="pct"/>
            <w:gridSpan w:val="4"/>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原則基礎與遵循或解釋</w:t>
            </w:r>
          </w:p>
        </w:tc>
      </w:tr>
      <w:tr w:rsidR="00F75CF1" w:rsidRPr="00466BCB" w:rsidTr="0094738E">
        <w:trPr>
          <w:trHeight w:val="936"/>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本守則採用原則基礎架構，提出六大原則，各原則輔以相關指引以利機構投資人遵循。</w:t>
            </w:r>
          </w:p>
        </w:tc>
      </w:tr>
      <w:tr w:rsidR="00F75CF1" w:rsidRPr="00466BCB" w:rsidTr="0094738E">
        <w:trPr>
          <w:trHeight w:val="1248"/>
        </w:trPr>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94"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4215" w:type="pct"/>
            <w:tcBorders>
              <w:top w:val="nil"/>
              <w:left w:val="nil"/>
              <w:bottom w:val="nil"/>
              <w:right w:val="nil"/>
            </w:tcBorders>
            <w:shd w:val="clear" w:color="auto" w:fill="auto"/>
            <w:hideMark/>
          </w:tcPr>
          <w:p w:rsidR="00F75CF1" w:rsidRPr="00466BCB" w:rsidRDefault="00F75CF1" w:rsidP="005A2D91">
            <w:pPr>
              <w:widowControl/>
              <w:rPr>
                <w:rFonts w:eastAsia="標楷體" w:cs="新細明體"/>
                <w:kern w:val="0"/>
                <w:szCs w:val="24"/>
              </w:rPr>
            </w:pPr>
            <w:r w:rsidRPr="00466BCB">
              <w:rPr>
                <w:rFonts w:eastAsia="標楷體" w:hAnsi="標楷體" w:cs="新細明體"/>
                <w:kern w:val="0"/>
                <w:szCs w:val="24"/>
              </w:rPr>
              <w:t>考量機構投資人種類</w:t>
            </w:r>
            <w:proofErr w:type="gramStart"/>
            <w:r w:rsidRPr="00466BCB">
              <w:rPr>
                <w:rFonts w:eastAsia="標楷體" w:hAnsi="標楷體" w:cs="新細明體"/>
                <w:kern w:val="0"/>
                <w:szCs w:val="24"/>
              </w:rPr>
              <w:t>眾多，</w:t>
            </w:r>
            <w:proofErr w:type="gramEnd"/>
            <w:r w:rsidRPr="00466BCB">
              <w:rPr>
                <w:rFonts w:eastAsia="標楷體" w:hAnsi="標楷體" w:cs="新細明體"/>
                <w:kern w:val="0"/>
                <w:szCs w:val="24"/>
              </w:rPr>
              <w:t>所追求之投資目標或應遵循之法規亦有所差異，為使本守則保有彈性以適用於所有簽署人，若簽署人有部分無法遵循原則與指引之情形，應將相關原因揭露於其官方網站</w:t>
            </w:r>
            <w:r w:rsidR="008B51F9" w:rsidRPr="00466BCB">
              <w:rPr>
                <w:rFonts w:eastAsia="標楷體" w:hAnsi="標楷體" w:cs="新細明體" w:hint="eastAsia"/>
                <w:kern w:val="0"/>
                <w:szCs w:val="24"/>
              </w:rPr>
              <w:t>及公司治理中心所指定之網站</w:t>
            </w:r>
            <w:r w:rsidRPr="00466BCB">
              <w:rPr>
                <w:rFonts w:eastAsia="標楷體" w:hAnsi="標楷體" w:cs="新細明體"/>
                <w:kern w:val="0"/>
                <w:szCs w:val="24"/>
              </w:rPr>
              <w:t>。</w:t>
            </w:r>
          </w:p>
        </w:tc>
      </w:tr>
    </w:tbl>
    <w:p w:rsidR="0094738E" w:rsidRDefault="0094738E">
      <w:r>
        <w:br w:type="page"/>
      </w:r>
    </w:p>
    <w:tbl>
      <w:tblPr>
        <w:tblW w:w="5045" w:type="pct"/>
        <w:tblLayout w:type="fixed"/>
        <w:tblCellMar>
          <w:left w:w="28" w:type="dxa"/>
          <w:right w:w="28" w:type="dxa"/>
        </w:tblCellMar>
        <w:tblLook w:val="04A0"/>
      </w:tblPr>
      <w:tblGrid>
        <w:gridCol w:w="152"/>
        <w:gridCol w:w="160"/>
        <w:gridCol w:w="20"/>
        <w:gridCol w:w="982"/>
        <w:gridCol w:w="71"/>
        <w:gridCol w:w="6981"/>
        <w:gridCol w:w="27"/>
        <w:gridCol w:w="44"/>
      </w:tblGrid>
      <w:tr w:rsidR="0046194A" w:rsidRPr="00466BCB" w:rsidTr="0046194A">
        <w:trPr>
          <w:gridAfter w:val="2"/>
          <w:wAfter w:w="42" w:type="pct"/>
          <w:trHeight w:val="372"/>
        </w:trPr>
        <w:tc>
          <w:tcPr>
            <w:tcW w:w="4958" w:type="pct"/>
            <w:gridSpan w:val="6"/>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r w:rsidRPr="00466BCB">
              <w:rPr>
                <w:rFonts w:eastAsia="標楷體" w:hAnsi="標楷體" w:cs="新細明體"/>
                <w:b/>
                <w:bCs/>
                <w:kern w:val="0"/>
                <w:szCs w:val="24"/>
              </w:rPr>
              <w:lastRenderedPageBreak/>
              <w:t>原則與指引</w:t>
            </w:r>
          </w:p>
        </w:tc>
      </w:tr>
      <w:tr w:rsidR="00F75CF1" w:rsidRPr="00466BCB" w:rsidTr="00F75CF1">
        <w:trPr>
          <w:gridAfter w:val="2"/>
          <w:wAfter w:w="42" w:type="pct"/>
          <w:trHeight w:val="372"/>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89"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原則</w:t>
            </w:r>
            <w:r w:rsidRPr="00466BCB">
              <w:rPr>
                <w:rFonts w:eastAsia="標楷體" w:cs="新細明體"/>
                <w:b/>
                <w:bCs/>
                <w:kern w:val="0"/>
                <w:szCs w:val="24"/>
              </w:rPr>
              <w:t>1</w:t>
            </w:r>
          </w:p>
        </w:tc>
        <w:tc>
          <w:tcPr>
            <w:tcW w:w="4179" w:type="pct"/>
            <w:gridSpan w:val="2"/>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制定並揭露盡責管理政策</w:t>
            </w:r>
          </w:p>
        </w:tc>
      </w:tr>
      <w:tr w:rsidR="00F75CF1" w:rsidRPr="00466BCB" w:rsidTr="00F75CF1">
        <w:trPr>
          <w:gridAfter w:val="2"/>
          <w:wAfter w:w="42" w:type="pct"/>
          <w:trHeight w:val="624"/>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107" w:type="pct"/>
            <w:gridSpan w:val="2"/>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582"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1-1</w:t>
            </w:r>
          </w:p>
        </w:tc>
        <w:tc>
          <w:tcPr>
            <w:tcW w:w="4179" w:type="pct"/>
            <w:gridSpan w:val="2"/>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機構投資人應制定並揭露盡責管理政策。</w:t>
            </w:r>
          </w:p>
        </w:tc>
      </w:tr>
      <w:tr w:rsidR="00F75CF1" w:rsidRPr="00466BCB" w:rsidTr="00F75CF1">
        <w:trPr>
          <w:gridAfter w:val="2"/>
          <w:wAfter w:w="42" w:type="pct"/>
          <w:trHeight w:val="936"/>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107" w:type="pct"/>
            <w:gridSpan w:val="2"/>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582"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1-2</w:t>
            </w:r>
          </w:p>
        </w:tc>
        <w:tc>
          <w:tcPr>
            <w:tcW w:w="4179" w:type="pct"/>
            <w:gridSpan w:val="2"/>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機構投資人訂定盡責管理政策時，應考量其位於該產業價值鏈之角色、定義其應盡之責任及如何履行。</w:t>
            </w:r>
          </w:p>
        </w:tc>
      </w:tr>
      <w:tr w:rsidR="0046194A" w:rsidRPr="00466BCB" w:rsidTr="0046194A">
        <w:trPr>
          <w:gridAfter w:val="2"/>
          <w:wAfter w:w="42" w:type="pct"/>
          <w:trHeight w:val="372"/>
        </w:trPr>
        <w:tc>
          <w:tcPr>
            <w:tcW w:w="90" w:type="pct"/>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p>
        </w:tc>
        <w:tc>
          <w:tcPr>
            <w:tcW w:w="4868" w:type="pct"/>
            <w:gridSpan w:val="5"/>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r w:rsidRPr="00466BCB">
              <w:rPr>
                <w:rFonts w:eastAsia="標楷體" w:hAnsi="標楷體" w:cs="新細明體"/>
                <w:b/>
                <w:bCs/>
                <w:kern w:val="0"/>
                <w:szCs w:val="24"/>
              </w:rPr>
              <w:t>原則</w:t>
            </w:r>
            <w:r w:rsidRPr="00466BCB">
              <w:rPr>
                <w:rFonts w:eastAsia="標楷體" w:cs="新細明體"/>
                <w:b/>
                <w:bCs/>
                <w:kern w:val="0"/>
                <w:szCs w:val="24"/>
              </w:rPr>
              <w:t xml:space="preserve">2  </w:t>
            </w:r>
            <w:r w:rsidRPr="00466BCB">
              <w:rPr>
                <w:rFonts w:eastAsia="標楷體" w:hAnsi="標楷體" w:cs="新細明體"/>
                <w:b/>
                <w:bCs/>
                <w:kern w:val="0"/>
                <w:szCs w:val="24"/>
              </w:rPr>
              <w:t>制定並揭露利益衝突管理政策</w:t>
            </w:r>
          </w:p>
        </w:tc>
      </w:tr>
      <w:tr w:rsidR="00F75CF1" w:rsidRPr="00466BCB" w:rsidTr="00F75CF1">
        <w:trPr>
          <w:trHeight w:val="936"/>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2-1</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機構投資人應訂定並揭露明確的利益衝突管理政策，確保基於客戶或最終受益人之長期利益</w:t>
            </w:r>
            <w:r w:rsidR="000F6F3E" w:rsidRPr="00466BCB">
              <w:rPr>
                <w:rFonts w:eastAsia="標楷體" w:hAnsi="標楷體" w:cs="新細明體" w:hint="eastAsia"/>
                <w:kern w:val="0"/>
                <w:szCs w:val="24"/>
              </w:rPr>
              <w:t>進行投資相關活動</w:t>
            </w:r>
            <w:r w:rsidRPr="00466BCB">
              <w:rPr>
                <w:rFonts w:eastAsia="標楷體" w:hAnsi="標楷體" w:cs="新細明體"/>
                <w:kern w:val="0"/>
                <w:szCs w:val="24"/>
              </w:rPr>
              <w:t>。</w:t>
            </w:r>
          </w:p>
        </w:tc>
      </w:tr>
      <w:tr w:rsidR="00F75CF1" w:rsidRPr="00466BCB" w:rsidTr="00F75CF1">
        <w:trPr>
          <w:trHeight w:val="936"/>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2-2</w:t>
            </w:r>
          </w:p>
        </w:tc>
        <w:tc>
          <w:tcPr>
            <w:tcW w:w="4179" w:type="pct"/>
            <w:gridSpan w:val="3"/>
            <w:tcBorders>
              <w:top w:val="nil"/>
              <w:left w:val="nil"/>
              <w:bottom w:val="nil"/>
              <w:right w:val="nil"/>
            </w:tcBorders>
            <w:shd w:val="clear" w:color="auto" w:fill="auto"/>
            <w:hideMark/>
          </w:tcPr>
          <w:p w:rsidR="003E1CAD" w:rsidRPr="00466BCB" w:rsidRDefault="00F75CF1" w:rsidP="00F75CF1">
            <w:pPr>
              <w:widowControl/>
              <w:rPr>
                <w:rFonts w:eastAsia="標楷體" w:cs="新細明體"/>
                <w:kern w:val="0"/>
                <w:szCs w:val="24"/>
              </w:rPr>
            </w:pPr>
            <w:r w:rsidRPr="00466BCB">
              <w:rPr>
                <w:rFonts w:eastAsia="標楷體" w:hAnsi="標楷體" w:cs="新細明體"/>
                <w:kern w:val="0"/>
                <w:szCs w:val="24"/>
              </w:rPr>
              <w:t>利益衝突管理政策至少應揭露機構投資人可能面臨之利益衝突態樣以及管理方式。</w:t>
            </w:r>
          </w:p>
        </w:tc>
      </w:tr>
      <w:tr w:rsidR="0046194A" w:rsidRPr="00466BCB" w:rsidTr="0046194A">
        <w:trPr>
          <w:gridAfter w:val="1"/>
          <w:wAfter w:w="26" w:type="pct"/>
          <w:trHeight w:val="372"/>
        </w:trPr>
        <w:tc>
          <w:tcPr>
            <w:tcW w:w="90" w:type="pct"/>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p>
        </w:tc>
        <w:tc>
          <w:tcPr>
            <w:tcW w:w="4884" w:type="pct"/>
            <w:gridSpan w:val="6"/>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r w:rsidRPr="00466BCB">
              <w:rPr>
                <w:rFonts w:eastAsia="標楷體" w:hAnsi="標楷體" w:cs="新細明體"/>
                <w:b/>
                <w:bCs/>
                <w:kern w:val="0"/>
                <w:szCs w:val="24"/>
              </w:rPr>
              <w:t>原則</w:t>
            </w:r>
            <w:r w:rsidRPr="00466BCB">
              <w:rPr>
                <w:rFonts w:eastAsia="標楷體" w:cs="新細明體"/>
                <w:b/>
                <w:bCs/>
                <w:kern w:val="0"/>
                <w:szCs w:val="24"/>
              </w:rPr>
              <w:t xml:space="preserve">3  </w:t>
            </w:r>
            <w:r w:rsidRPr="00466BCB">
              <w:rPr>
                <w:rFonts w:eastAsia="標楷體" w:hAnsi="標楷體" w:cs="新細明體"/>
                <w:b/>
                <w:bCs/>
                <w:kern w:val="0"/>
                <w:szCs w:val="24"/>
              </w:rPr>
              <w:t>持續關注被投資公司</w:t>
            </w:r>
          </w:p>
        </w:tc>
      </w:tr>
      <w:tr w:rsidR="00F75CF1" w:rsidRPr="00466BCB" w:rsidTr="00F75CF1">
        <w:trPr>
          <w:trHeight w:val="936"/>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3-1</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機構投資人應持續關注被投資公司，以取得足夠且適當之財務或非財務資訊，以評估參與被投資公司事務之性質、時間與程度</w:t>
            </w:r>
            <w:r w:rsidR="00F6488B" w:rsidRPr="00466BCB">
              <w:rPr>
                <w:rFonts w:eastAsia="標楷體" w:hAnsi="標楷體" w:cs="新細明體" w:hint="eastAsia"/>
                <w:kern w:val="0"/>
                <w:szCs w:val="24"/>
              </w:rPr>
              <w:t>，惟</w:t>
            </w:r>
            <w:r w:rsidR="00F6488B" w:rsidRPr="00466BCB">
              <w:rPr>
                <w:rFonts w:eastAsia="標楷體" w:hAnsi="標楷體" w:cs="新細明體"/>
                <w:kern w:val="0"/>
                <w:szCs w:val="24"/>
              </w:rPr>
              <w:t>機構投資人</w:t>
            </w:r>
            <w:r w:rsidR="00F6488B" w:rsidRPr="00466BCB">
              <w:rPr>
                <w:rFonts w:eastAsia="標楷體" w:hAnsi="標楷體" w:cs="新細明體" w:hint="eastAsia"/>
                <w:kern w:val="0"/>
                <w:szCs w:val="24"/>
              </w:rPr>
              <w:t>應避免取得與應用未公開之資訊。</w:t>
            </w:r>
          </w:p>
        </w:tc>
      </w:tr>
      <w:tr w:rsidR="00F75CF1" w:rsidRPr="00466BCB" w:rsidTr="00F75CF1">
        <w:trPr>
          <w:trHeight w:val="1560"/>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3-2</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深入瞭解被投資公司，包含但不限於產業概況、機會與風險、經營策略、財務狀況、財務績效、現金流量、環境影響、社會議題及公司治理，並評估可能對被投資公司、客戶或受益人長期價值之影響。</w:t>
            </w:r>
          </w:p>
        </w:tc>
      </w:tr>
      <w:tr w:rsidR="0046194A" w:rsidRPr="00466BCB" w:rsidTr="0046194A">
        <w:trPr>
          <w:gridAfter w:val="2"/>
          <w:wAfter w:w="42" w:type="pct"/>
          <w:trHeight w:val="372"/>
        </w:trPr>
        <w:tc>
          <w:tcPr>
            <w:tcW w:w="90" w:type="pct"/>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p>
        </w:tc>
        <w:tc>
          <w:tcPr>
            <w:tcW w:w="4868" w:type="pct"/>
            <w:gridSpan w:val="5"/>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r w:rsidRPr="00466BCB">
              <w:rPr>
                <w:rFonts w:eastAsia="標楷體" w:hAnsi="標楷體" w:cs="新細明體"/>
                <w:b/>
                <w:bCs/>
                <w:kern w:val="0"/>
                <w:szCs w:val="24"/>
              </w:rPr>
              <w:t>原則</w:t>
            </w:r>
            <w:r w:rsidRPr="00466BCB">
              <w:rPr>
                <w:rFonts w:eastAsia="標楷體" w:cs="新細明體"/>
                <w:b/>
                <w:bCs/>
                <w:kern w:val="0"/>
                <w:szCs w:val="24"/>
              </w:rPr>
              <w:t xml:space="preserve">4  </w:t>
            </w:r>
            <w:r w:rsidRPr="00466BCB">
              <w:rPr>
                <w:rFonts w:eastAsia="標楷體" w:hAnsi="標楷體" w:cs="新細明體"/>
                <w:b/>
                <w:bCs/>
                <w:kern w:val="0"/>
                <w:szCs w:val="24"/>
              </w:rPr>
              <w:t>適當與被投資公司</w:t>
            </w:r>
            <w:r w:rsidR="00E82535" w:rsidRPr="00466BCB">
              <w:rPr>
                <w:rFonts w:eastAsia="標楷體" w:hAnsi="標楷體" w:cs="新細明體" w:hint="eastAsia"/>
                <w:b/>
                <w:bCs/>
                <w:kern w:val="0"/>
                <w:szCs w:val="24"/>
              </w:rPr>
              <w:t>對話及</w:t>
            </w:r>
            <w:r w:rsidR="009754D9" w:rsidRPr="00466BCB">
              <w:rPr>
                <w:rFonts w:eastAsia="標楷體" w:hAnsi="標楷體" w:cs="新細明體" w:hint="eastAsia"/>
                <w:b/>
                <w:bCs/>
                <w:kern w:val="0"/>
                <w:szCs w:val="24"/>
              </w:rPr>
              <w:t>互動</w:t>
            </w:r>
          </w:p>
        </w:tc>
      </w:tr>
      <w:tr w:rsidR="00F75CF1" w:rsidRPr="00466BCB" w:rsidTr="00F75CF1">
        <w:trPr>
          <w:trHeight w:val="1248"/>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4-1</w:t>
            </w:r>
          </w:p>
        </w:tc>
        <w:tc>
          <w:tcPr>
            <w:tcW w:w="4179" w:type="pct"/>
            <w:gridSpan w:val="3"/>
            <w:tcBorders>
              <w:top w:val="nil"/>
              <w:left w:val="nil"/>
              <w:bottom w:val="nil"/>
              <w:right w:val="nil"/>
            </w:tcBorders>
            <w:shd w:val="clear" w:color="auto" w:fill="auto"/>
            <w:hideMark/>
          </w:tcPr>
          <w:p w:rsidR="002448A0" w:rsidRPr="00466BCB" w:rsidRDefault="00867048">
            <w:pPr>
              <w:widowControl/>
              <w:tabs>
                <w:tab w:val="center" w:pos="4153"/>
                <w:tab w:val="right" w:pos="8306"/>
              </w:tabs>
              <w:snapToGrid w:val="0"/>
              <w:rPr>
                <w:rFonts w:eastAsia="標楷體" w:hAnsi="標楷體" w:cs="新細明體"/>
                <w:kern w:val="0"/>
                <w:sz w:val="20"/>
                <w:szCs w:val="24"/>
              </w:rPr>
            </w:pPr>
            <w:r w:rsidRPr="00466BCB">
              <w:rPr>
                <w:rFonts w:eastAsia="標楷體" w:hAnsi="標楷體" w:cs="新細明體"/>
                <w:kern w:val="0"/>
                <w:szCs w:val="24"/>
              </w:rPr>
              <w:t>在符合法令與利益衝突管理政策之前提下，</w:t>
            </w:r>
            <w:r w:rsidR="00AC3E52" w:rsidRPr="00466BCB">
              <w:rPr>
                <w:rFonts w:eastAsia="標楷體" w:hAnsi="標楷體" w:cs="新細明體"/>
                <w:kern w:val="0"/>
                <w:szCs w:val="24"/>
              </w:rPr>
              <w:t>機構投資人</w:t>
            </w:r>
            <w:r w:rsidR="007E7DE1" w:rsidRPr="00466BCB">
              <w:rPr>
                <w:rFonts w:eastAsia="標楷體" w:hAnsi="標楷體" w:cs="新細明體" w:hint="eastAsia"/>
                <w:kern w:val="0"/>
                <w:szCs w:val="24"/>
              </w:rPr>
              <w:t>應</w:t>
            </w:r>
            <w:r w:rsidR="00E82535" w:rsidRPr="00466BCB">
              <w:rPr>
                <w:rFonts w:eastAsia="標楷體" w:hAnsi="標楷體" w:cs="新細明體" w:hint="eastAsia"/>
                <w:kern w:val="0"/>
                <w:szCs w:val="24"/>
              </w:rPr>
              <w:t>針對所關注之重大議題</w:t>
            </w:r>
            <w:r w:rsidR="00EC7C7E" w:rsidRPr="00466BCB">
              <w:rPr>
                <w:rFonts w:eastAsia="標楷體" w:hAnsi="標楷體" w:cs="新細明體"/>
                <w:kern w:val="0"/>
                <w:szCs w:val="24"/>
              </w:rPr>
              <w:t>進一步</w:t>
            </w:r>
            <w:r w:rsidRPr="00466BCB">
              <w:rPr>
                <w:rFonts w:eastAsia="標楷體" w:hAnsi="標楷體" w:cs="新細明體"/>
                <w:kern w:val="0"/>
                <w:szCs w:val="24"/>
              </w:rPr>
              <w:t>與被投資公司</w:t>
            </w:r>
            <w:r w:rsidRPr="00466BCB">
              <w:rPr>
                <w:rFonts w:eastAsia="標楷體" w:hAnsi="標楷體" w:cs="新細明體" w:hint="eastAsia"/>
                <w:kern w:val="0"/>
                <w:szCs w:val="24"/>
              </w:rPr>
              <w:t>對話及互動</w:t>
            </w:r>
            <w:r w:rsidR="00F75CF1" w:rsidRPr="00466BCB">
              <w:rPr>
                <w:rFonts w:eastAsia="標楷體" w:hAnsi="標楷體" w:cs="新細明體"/>
                <w:kern w:val="0"/>
                <w:szCs w:val="24"/>
              </w:rPr>
              <w:t>，</w:t>
            </w:r>
            <w:r w:rsidR="001F1FDE" w:rsidRPr="00466BCB">
              <w:rPr>
                <w:rFonts w:eastAsia="標楷體" w:hAnsi="標楷體" w:cs="新細明體" w:hint="eastAsia"/>
                <w:kern w:val="0"/>
                <w:szCs w:val="24"/>
              </w:rPr>
              <w:t>促使</w:t>
            </w:r>
            <w:r w:rsidR="00F75CF1" w:rsidRPr="00466BCB">
              <w:rPr>
                <w:rFonts w:eastAsia="標楷體" w:hAnsi="標楷體" w:cs="新細明體"/>
                <w:kern w:val="0"/>
                <w:szCs w:val="24"/>
              </w:rPr>
              <w:t>被投資公司在</w:t>
            </w:r>
            <w:r w:rsidR="001F1FDE" w:rsidRPr="00466BCB">
              <w:rPr>
                <w:rFonts w:eastAsia="標楷體" w:hAnsi="標楷體" w:cs="新細明體" w:hint="eastAsia"/>
                <w:kern w:val="0"/>
                <w:szCs w:val="24"/>
              </w:rPr>
              <w:t>機構投資人所關注之</w:t>
            </w:r>
            <w:r w:rsidR="00E82535" w:rsidRPr="00466BCB">
              <w:rPr>
                <w:rFonts w:eastAsia="標楷體" w:hAnsi="標楷體" w:cs="新細明體" w:hint="eastAsia"/>
                <w:kern w:val="0"/>
                <w:szCs w:val="24"/>
              </w:rPr>
              <w:t>重大</w:t>
            </w:r>
            <w:r w:rsidR="001F1FDE" w:rsidRPr="00466BCB">
              <w:rPr>
                <w:rFonts w:eastAsia="標楷體" w:hAnsi="標楷體" w:cs="新細明體" w:hint="eastAsia"/>
                <w:kern w:val="0"/>
                <w:szCs w:val="24"/>
              </w:rPr>
              <w:t>議題上符合公司治理相關原則，以提升客戶或受益人之長期價值</w:t>
            </w:r>
            <w:r w:rsidR="00F75CF1" w:rsidRPr="00466BCB">
              <w:rPr>
                <w:rFonts w:eastAsia="標楷體" w:hAnsi="標楷體" w:cs="新細明體"/>
                <w:kern w:val="0"/>
                <w:szCs w:val="24"/>
              </w:rPr>
              <w:t>。</w:t>
            </w:r>
          </w:p>
        </w:tc>
      </w:tr>
      <w:tr w:rsidR="00F75CF1" w:rsidRPr="00466BCB" w:rsidTr="00F75CF1">
        <w:trPr>
          <w:trHeight w:val="1248"/>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4-2</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機構投資人與被投資公司</w:t>
            </w:r>
            <w:r w:rsidR="00E82535" w:rsidRPr="00466BCB">
              <w:rPr>
                <w:rFonts w:eastAsia="標楷體" w:hAnsi="標楷體" w:cs="新細明體" w:hint="eastAsia"/>
                <w:kern w:val="0"/>
                <w:szCs w:val="24"/>
              </w:rPr>
              <w:t>對話及</w:t>
            </w:r>
            <w:r w:rsidR="009754D9" w:rsidRPr="00466BCB">
              <w:rPr>
                <w:rFonts w:eastAsia="標楷體" w:hAnsi="標楷體" w:cs="新細明體" w:hint="eastAsia"/>
                <w:kern w:val="0"/>
                <w:szCs w:val="24"/>
              </w:rPr>
              <w:t>互動</w:t>
            </w:r>
            <w:r w:rsidRPr="00466BCB">
              <w:rPr>
                <w:rFonts w:eastAsia="標楷體" w:hAnsi="標楷體" w:cs="新細明體"/>
                <w:kern w:val="0"/>
                <w:szCs w:val="24"/>
              </w:rPr>
              <w:t>之方式包含但不限於與管理階層溝通、公開發表聲明、於股東會發表意見、提出股東會議案</w:t>
            </w:r>
            <w:r w:rsidR="0006691B" w:rsidRPr="00466BCB">
              <w:rPr>
                <w:rFonts w:eastAsia="標楷體" w:hAnsi="標楷體" w:cs="新細明體" w:hint="eastAsia"/>
                <w:kern w:val="0"/>
                <w:szCs w:val="24"/>
              </w:rPr>
              <w:t>或</w:t>
            </w:r>
            <w:r w:rsidRPr="00466BCB">
              <w:rPr>
                <w:rFonts w:eastAsia="標楷體" w:hAnsi="標楷體" w:cs="新細明體"/>
                <w:kern w:val="0"/>
                <w:szCs w:val="24"/>
              </w:rPr>
              <w:t>參與股東會投票等。</w:t>
            </w:r>
          </w:p>
        </w:tc>
      </w:tr>
      <w:tr w:rsidR="0046194A" w:rsidRPr="00466BCB" w:rsidTr="0046194A">
        <w:trPr>
          <w:gridAfter w:val="2"/>
          <w:wAfter w:w="42" w:type="pct"/>
          <w:trHeight w:val="372"/>
        </w:trPr>
        <w:tc>
          <w:tcPr>
            <w:tcW w:w="90" w:type="pct"/>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p>
        </w:tc>
        <w:tc>
          <w:tcPr>
            <w:tcW w:w="4868" w:type="pct"/>
            <w:gridSpan w:val="5"/>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r w:rsidRPr="00466BCB">
              <w:rPr>
                <w:rFonts w:eastAsia="標楷體" w:hAnsi="標楷體" w:cs="新細明體"/>
                <w:b/>
                <w:bCs/>
                <w:kern w:val="0"/>
                <w:szCs w:val="24"/>
              </w:rPr>
              <w:t>原則</w:t>
            </w:r>
            <w:r w:rsidRPr="00466BCB">
              <w:rPr>
                <w:rFonts w:eastAsia="標楷體" w:cs="新細明體"/>
                <w:b/>
                <w:bCs/>
                <w:kern w:val="0"/>
                <w:szCs w:val="24"/>
              </w:rPr>
              <w:t xml:space="preserve">5  </w:t>
            </w:r>
            <w:r w:rsidRPr="00466BCB">
              <w:rPr>
                <w:rFonts w:eastAsia="標楷體" w:hAnsi="標楷體" w:cs="新細明體"/>
                <w:b/>
                <w:bCs/>
                <w:kern w:val="0"/>
                <w:szCs w:val="24"/>
              </w:rPr>
              <w:t>建立並揭露明確投票政策與揭露投票情形</w:t>
            </w:r>
          </w:p>
        </w:tc>
      </w:tr>
      <w:tr w:rsidR="00F75CF1" w:rsidRPr="00466BCB" w:rsidTr="00F75CF1">
        <w:trPr>
          <w:trHeight w:val="936"/>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5-1</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機構投資人應運用其持有或受託管理的股份進行投票。若機構投資人因法令或利益衝突政策之限制而無法行使投票權時，應公開解釋原因。</w:t>
            </w:r>
          </w:p>
        </w:tc>
      </w:tr>
      <w:tr w:rsidR="00F75CF1" w:rsidRPr="00466BCB" w:rsidTr="00F75CF1">
        <w:trPr>
          <w:trHeight w:val="624"/>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5-2</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機構投資人應制定明確的投票政策，並公開揭露。</w:t>
            </w:r>
          </w:p>
        </w:tc>
      </w:tr>
      <w:tr w:rsidR="00F75CF1" w:rsidRPr="00466BCB" w:rsidTr="00F75CF1">
        <w:trPr>
          <w:trHeight w:val="1872"/>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5-3</w:t>
            </w:r>
          </w:p>
        </w:tc>
        <w:tc>
          <w:tcPr>
            <w:tcW w:w="4179" w:type="pct"/>
            <w:gridSpan w:val="3"/>
            <w:tcBorders>
              <w:top w:val="nil"/>
              <w:left w:val="nil"/>
              <w:bottom w:val="nil"/>
              <w:right w:val="nil"/>
            </w:tcBorders>
            <w:shd w:val="clear" w:color="auto" w:fill="auto"/>
            <w:hideMark/>
          </w:tcPr>
          <w:p w:rsidR="00F75CF1" w:rsidRPr="00466BCB" w:rsidRDefault="00F75CF1" w:rsidP="00106802">
            <w:pPr>
              <w:widowControl/>
              <w:rPr>
                <w:rFonts w:eastAsia="標楷體" w:cs="新細明體"/>
                <w:kern w:val="0"/>
                <w:szCs w:val="24"/>
              </w:rPr>
            </w:pPr>
            <w:r w:rsidRPr="00466BCB">
              <w:rPr>
                <w:rFonts w:eastAsia="標楷體" w:hAnsi="標楷體" w:cs="新細明體"/>
                <w:kern w:val="0"/>
                <w:szCs w:val="24"/>
              </w:rPr>
              <w:t>機構投資人於投票前，應詳細閱讀股東會議事手冊，並應基於關注被投資公司及</w:t>
            </w:r>
            <w:r w:rsidR="00926EC7" w:rsidRPr="00926EC7">
              <w:rPr>
                <w:rFonts w:eastAsia="標楷體" w:hAnsi="標楷體" w:cs="新細明體"/>
                <w:kern w:val="0"/>
                <w:szCs w:val="24"/>
              </w:rPr>
              <w:t>與被投資公司</w:t>
            </w:r>
            <w:r w:rsidR="00926EC7" w:rsidRPr="00926EC7">
              <w:rPr>
                <w:rFonts w:eastAsia="標楷體" w:hAnsi="標楷體" w:cs="新細明體" w:hint="eastAsia"/>
                <w:kern w:val="0"/>
                <w:szCs w:val="24"/>
              </w:rPr>
              <w:t>對話及互動</w:t>
            </w:r>
            <w:r w:rsidRPr="00466BCB">
              <w:rPr>
                <w:rFonts w:eastAsia="標楷體" w:hAnsi="標楷體" w:cs="新細明體"/>
                <w:kern w:val="0"/>
                <w:szCs w:val="24"/>
              </w:rPr>
              <w:t>之結果，評估議案對客戶、受益人及被投資公司共同長期利益之影響。若機構投資人取得股權研究代理機構之投票建議報告，仍須自行判斷如何履行投票權，</w:t>
            </w:r>
            <w:r w:rsidR="00926EC7">
              <w:rPr>
                <w:rFonts w:eastAsia="標楷體" w:hAnsi="標楷體" w:cs="新細明體"/>
                <w:kern w:val="0"/>
                <w:szCs w:val="24"/>
              </w:rPr>
              <w:t>避免機械式</w:t>
            </w:r>
            <w:r w:rsidRPr="00466BCB">
              <w:rPr>
                <w:rFonts w:eastAsia="標楷體" w:hAnsi="標楷體" w:cs="新細明體"/>
                <w:kern w:val="0"/>
                <w:szCs w:val="24"/>
              </w:rPr>
              <w:t>贊成、反對議案或棄權。</w:t>
            </w:r>
            <w:r w:rsidRPr="00466BCB">
              <w:rPr>
                <w:rFonts w:eastAsia="標楷體" w:cs="新細明體"/>
                <w:kern w:val="0"/>
                <w:szCs w:val="24"/>
              </w:rPr>
              <w:br w:type="page"/>
            </w:r>
          </w:p>
        </w:tc>
      </w:tr>
      <w:tr w:rsidR="00F75CF1" w:rsidRPr="00466BCB" w:rsidTr="00F75CF1">
        <w:trPr>
          <w:trHeight w:val="936"/>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5-4</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機構投資人應妥善記錄、分析並揭露其</w:t>
            </w:r>
            <w:r w:rsidR="00924056" w:rsidRPr="00466BCB">
              <w:rPr>
                <w:rFonts w:eastAsia="標楷體" w:hAnsi="標楷體" w:cs="新細明體" w:hint="eastAsia"/>
                <w:kern w:val="0"/>
                <w:szCs w:val="24"/>
              </w:rPr>
              <w:t>依循相關政策</w:t>
            </w:r>
            <w:r w:rsidRPr="00466BCB">
              <w:rPr>
                <w:rFonts w:eastAsia="標楷體" w:hAnsi="標楷體" w:cs="新細明體"/>
                <w:kern w:val="0"/>
                <w:szCs w:val="24"/>
              </w:rPr>
              <w:t>履行投票權之情形，包含</w:t>
            </w:r>
            <w:r w:rsidR="00E14F18">
              <w:rPr>
                <w:rFonts w:eastAsia="標楷體" w:hAnsi="標楷體" w:cs="新細明體" w:hint="eastAsia"/>
                <w:kern w:val="0"/>
                <w:szCs w:val="24"/>
              </w:rPr>
              <w:t>但不限於</w:t>
            </w:r>
            <w:r w:rsidRPr="00466BCB">
              <w:rPr>
                <w:rFonts w:eastAsia="標楷體" w:hAnsi="標楷體" w:cs="新細明體"/>
                <w:kern w:val="0"/>
                <w:szCs w:val="24"/>
              </w:rPr>
              <w:t>出席股東會之次數、投票之次數，各類議案贊成、反對或棄權之情形等。</w:t>
            </w:r>
          </w:p>
        </w:tc>
      </w:tr>
      <w:tr w:rsidR="0046194A" w:rsidRPr="00466BCB" w:rsidTr="0046194A">
        <w:trPr>
          <w:gridAfter w:val="1"/>
          <w:wAfter w:w="26" w:type="pct"/>
          <w:trHeight w:val="372"/>
        </w:trPr>
        <w:tc>
          <w:tcPr>
            <w:tcW w:w="90" w:type="pct"/>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p>
        </w:tc>
        <w:tc>
          <w:tcPr>
            <w:tcW w:w="4884" w:type="pct"/>
            <w:gridSpan w:val="6"/>
            <w:tcBorders>
              <w:top w:val="nil"/>
              <w:left w:val="nil"/>
              <w:bottom w:val="nil"/>
              <w:right w:val="nil"/>
            </w:tcBorders>
            <w:shd w:val="clear" w:color="auto" w:fill="auto"/>
            <w:noWrap/>
            <w:hideMark/>
          </w:tcPr>
          <w:p w:rsidR="0046194A" w:rsidRPr="00466BCB" w:rsidRDefault="0046194A" w:rsidP="00F75CF1">
            <w:pPr>
              <w:widowControl/>
              <w:rPr>
                <w:rFonts w:eastAsia="標楷體" w:cs="新細明體"/>
                <w:b/>
                <w:bCs/>
                <w:kern w:val="0"/>
                <w:szCs w:val="24"/>
              </w:rPr>
            </w:pPr>
            <w:r w:rsidRPr="00466BCB">
              <w:rPr>
                <w:rFonts w:eastAsia="標楷體" w:hAnsi="標楷體" w:cs="新細明體"/>
                <w:b/>
                <w:bCs/>
                <w:kern w:val="0"/>
                <w:szCs w:val="24"/>
              </w:rPr>
              <w:t>原則</w:t>
            </w:r>
            <w:r w:rsidRPr="00466BCB">
              <w:rPr>
                <w:rFonts w:eastAsia="標楷體" w:cs="新細明體"/>
                <w:b/>
                <w:bCs/>
                <w:kern w:val="0"/>
                <w:szCs w:val="24"/>
              </w:rPr>
              <w:t xml:space="preserve">6  </w:t>
            </w:r>
            <w:r w:rsidRPr="00466BCB">
              <w:rPr>
                <w:rFonts w:eastAsia="標楷體" w:hAnsi="標楷體" w:cs="新細明體"/>
                <w:b/>
                <w:bCs/>
                <w:kern w:val="0"/>
                <w:szCs w:val="24"/>
              </w:rPr>
              <w:t>定期向客戶或受益人揭露履行盡責管理之情形</w:t>
            </w:r>
          </w:p>
        </w:tc>
      </w:tr>
      <w:tr w:rsidR="00F75CF1" w:rsidRPr="00466BCB" w:rsidTr="00F75CF1">
        <w:trPr>
          <w:trHeight w:val="624"/>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6-1</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機構投資人應妥善</w:t>
            </w:r>
            <w:r w:rsidR="00CE71DE">
              <w:rPr>
                <w:rFonts w:eastAsia="標楷體" w:hAnsi="標楷體" w:cs="新細明體"/>
                <w:kern w:val="0"/>
                <w:szCs w:val="24"/>
              </w:rPr>
              <w:t>記</w:t>
            </w:r>
            <w:r w:rsidRPr="00466BCB">
              <w:rPr>
                <w:rFonts w:eastAsia="標楷體" w:hAnsi="標楷體" w:cs="新細明體"/>
                <w:kern w:val="0"/>
                <w:szCs w:val="24"/>
              </w:rPr>
              <w:t>錄其盡責管理活動。</w:t>
            </w:r>
          </w:p>
        </w:tc>
      </w:tr>
      <w:tr w:rsidR="00F75CF1" w:rsidRPr="00466BCB" w:rsidTr="00F75CF1">
        <w:trPr>
          <w:trHeight w:val="1248"/>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6-2</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機構投資人基於客戶或受益人之要求或合約，宜定期向客戶或受益人揭露履行盡責管理守則之情形，揭露方式得以公開方式、報告或其他形式提供。</w:t>
            </w:r>
          </w:p>
        </w:tc>
      </w:tr>
      <w:tr w:rsidR="00F75CF1" w:rsidRPr="00466BCB" w:rsidTr="00F75CF1">
        <w:trPr>
          <w:trHeight w:val="1248"/>
        </w:trPr>
        <w:tc>
          <w:tcPr>
            <w:tcW w:w="90"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95" w:type="pct"/>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p>
        </w:tc>
        <w:tc>
          <w:tcPr>
            <w:tcW w:w="636" w:type="pct"/>
            <w:gridSpan w:val="3"/>
            <w:tcBorders>
              <w:top w:val="nil"/>
              <w:left w:val="nil"/>
              <w:bottom w:val="nil"/>
              <w:right w:val="nil"/>
            </w:tcBorders>
            <w:shd w:val="clear" w:color="auto" w:fill="auto"/>
            <w:noWrap/>
            <w:hideMark/>
          </w:tcPr>
          <w:p w:rsidR="00F75CF1" w:rsidRPr="00466BCB" w:rsidRDefault="00F75CF1" w:rsidP="00F75CF1">
            <w:pPr>
              <w:widowControl/>
              <w:rPr>
                <w:rFonts w:eastAsia="標楷體" w:cs="新細明體"/>
                <w:b/>
                <w:bCs/>
                <w:kern w:val="0"/>
                <w:szCs w:val="24"/>
              </w:rPr>
            </w:pPr>
            <w:r w:rsidRPr="00466BCB">
              <w:rPr>
                <w:rFonts w:eastAsia="標楷體" w:hAnsi="標楷體" w:cs="新細明體"/>
                <w:b/>
                <w:bCs/>
                <w:kern w:val="0"/>
                <w:szCs w:val="24"/>
              </w:rPr>
              <w:t>指引</w:t>
            </w:r>
            <w:r w:rsidRPr="00466BCB">
              <w:rPr>
                <w:rFonts w:eastAsia="標楷體" w:cs="新細明體"/>
                <w:b/>
                <w:bCs/>
                <w:kern w:val="0"/>
                <w:szCs w:val="24"/>
              </w:rPr>
              <w:t>6-3</w:t>
            </w:r>
          </w:p>
        </w:tc>
        <w:tc>
          <w:tcPr>
            <w:tcW w:w="4179" w:type="pct"/>
            <w:gridSpan w:val="3"/>
            <w:tcBorders>
              <w:top w:val="nil"/>
              <w:left w:val="nil"/>
              <w:bottom w:val="nil"/>
              <w:right w:val="nil"/>
            </w:tcBorders>
            <w:shd w:val="clear" w:color="auto" w:fill="auto"/>
            <w:hideMark/>
          </w:tcPr>
          <w:p w:rsidR="00F75CF1" w:rsidRPr="00466BCB" w:rsidRDefault="00F75CF1" w:rsidP="00F75CF1">
            <w:pPr>
              <w:widowControl/>
              <w:rPr>
                <w:rFonts w:eastAsia="標楷體" w:cs="新細明體"/>
                <w:kern w:val="0"/>
                <w:szCs w:val="24"/>
              </w:rPr>
            </w:pPr>
            <w:r w:rsidRPr="00466BCB">
              <w:rPr>
                <w:rFonts w:eastAsia="標楷體" w:hAnsi="標楷體" w:cs="新細明體"/>
                <w:kern w:val="0"/>
                <w:szCs w:val="24"/>
              </w:rPr>
              <w:t>如投資活動非由機構投資人直接進行，例如全權委託資產管理人管理資金，則在向客戶或受益人揭露履行盡責管理之情形時，應揭露其為確保</w:t>
            </w:r>
            <w:r w:rsidR="00A96DFB" w:rsidRPr="00466BCB">
              <w:rPr>
                <w:rFonts w:eastAsia="標楷體" w:hAnsi="標楷體" w:cs="新細明體" w:hint="eastAsia"/>
                <w:kern w:val="0"/>
                <w:szCs w:val="24"/>
              </w:rPr>
              <w:t>遵循</w:t>
            </w:r>
            <w:r w:rsidRPr="00466BCB">
              <w:rPr>
                <w:rFonts w:eastAsia="標楷體" w:hAnsi="標楷體" w:cs="新細明體"/>
                <w:kern w:val="0"/>
                <w:szCs w:val="24"/>
              </w:rPr>
              <w:t>盡</w:t>
            </w:r>
            <w:r w:rsidR="00EB187E" w:rsidRPr="00466BCB">
              <w:rPr>
                <w:rFonts w:eastAsia="標楷體" w:hAnsi="標楷體" w:cs="新細明體" w:hint="eastAsia"/>
                <w:kern w:val="0"/>
                <w:szCs w:val="24"/>
              </w:rPr>
              <w:t>責</w:t>
            </w:r>
            <w:r w:rsidRPr="00466BCB">
              <w:rPr>
                <w:rFonts w:eastAsia="標楷體" w:hAnsi="標楷體" w:cs="新細明體"/>
                <w:kern w:val="0"/>
                <w:szCs w:val="24"/>
              </w:rPr>
              <w:t>管理</w:t>
            </w:r>
            <w:r w:rsidR="00A96DFB" w:rsidRPr="00466BCB">
              <w:rPr>
                <w:rFonts w:eastAsia="標楷體" w:hAnsi="標楷體" w:cs="新細明體" w:hint="eastAsia"/>
                <w:kern w:val="0"/>
                <w:szCs w:val="24"/>
              </w:rPr>
              <w:t>政策</w:t>
            </w:r>
            <w:r w:rsidRPr="00466BCB">
              <w:rPr>
                <w:rFonts w:eastAsia="標楷體" w:hAnsi="標楷體" w:cs="新細明體"/>
                <w:kern w:val="0"/>
                <w:szCs w:val="24"/>
              </w:rPr>
              <w:t>所採取的措施。</w:t>
            </w:r>
          </w:p>
        </w:tc>
      </w:tr>
    </w:tbl>
    <w:p w:rsidR="0060041F" w:rsidRPr="00EB187E" w:rsidRDefault="0060041F" w:rsidP="005920C4">
      <w:pPr>
        <w:jc w:val="both"/>
        <w:rPr>
          <w:rFonts w:eastAsia="標楷體"/>
        </w:rPr>
      </w:pPr>
    </w:p>
    <w:p w:rsidR="0060041F" w:rsidRDefault="0060041F">
      <w:pPr>
        <w:widowControl/>
        <w:rPr>
          <w:rFonts w:eastAsia="標楷體"/>
        </w:rPr>
      </w:pPr>
      <w:r>
        <w:rPr>
          <w:rFonts w:eastAsia="標楷體"/>
        </w:rPr>
        <w:br w:type="page"/>
      </w:r>
    </w:p>
    <w:p w:rsidR="002D0930" w:rsidRPr="00767182" w:rsidRDefault="002D0930" w:rsidP="005920C4">
      <w:pPr>
        <w:jc w:val="both"/>
        <w:rPr>
          <w:rFonts w:eastAsia="標楷體"/>
        </w:rPr>
      </w:pPr>
    </w:p>
    <w:p w:rsidR="00345149" w:rsidRPr="0094738E" w:rsidRDefault="00B66C71" w:rsidP="00885D75">
      <w:pPr>
        <w:pStyle w:val="a3"/>
        <w:numPr>
          <w:ilvl w:val="0"/>
          <w:numId w:val="1"/>
        </w:numPr>
        <w:ind w:leftChars="0"/>
        <w:jc w:val="both"/>
        <w:rPr>
          <w:rFonts w:eastAsia="標楷體" w:hAnsi="標楷體"/>
          <w:b/>
          <w:sz w:val="28"/>
          <w:szCs w:val="28"/>
        </w:rPr>
      </w:pPr>
      <w:r w:rsidRPr="0094738E">
        <w:rPr>
          <w:rFonts w:eastAsia="標楷體" w:hAnsi="標楷體"/>
          <w:b/>
          <w:sz w:val="28"/>
          <w:szCs w:val="28"/>
        </w:rPr>
        <w:t>意見徵詢</w:t>
      </w:r>
    </w:p>
    <w:p w:rsidR="006000AC" w:rsidRPr="00487085" w:rsidRDefault="002D0930" w:rsidP="00487085">
      <w:pPr>
        <w:ind w:firstLine="360"/>
        <w:jc w:val="both"/>
        <w:rPr>
          <w:rFonts w:eastAsia="標楷體"/>
          <w:sz w:val="22"/>
        </w:rPr>
      </w:pPr>
      <w:r w:rsidRPr="00487085">
        <w:rPr>
          <w:rFonts w:eastAsia="標楷體" w:hAnsi="標楷體"/>
          <w:sz w:val="22"/>
        </w:rPr>
        <w:t>為確保守則目標明確、內容清楚且可行</w:t>
      </w:r>
      <w:r w:rsidR="00345149" w:rsidRPr="00487085">
        <w:rPr>
          <w:rFonts w:eastAsia="標楷體" w:hAnsi="標楷體"/>
          <w:sz w:val="22"/>
        </w:rPr>
        <w:t>，謹邀請相關人士就</w:t>
      </w:r>
      <w:r w:rsidR="00A558B1" w:rsidRPr="00487085">
        <w:rPr>
          <w:rFonts w:eastAsia="標楷體" w:hAnsi="標楷體"/>
          <w:sz w:val="22"/>
        </w:rPr>
        <w:t>守則</w:t>
      </w:r>
      <w:r w:rsidR="00F20C49" w:rsidRPr="00487085">
        <w:rPr>
          <w:rFonts w:eastAsia="標楷體" w:hAnsi="標楷體"/>
          <w:sz w:val="22"/>
        </w:rPr>
        <w:t>草案</w:t>
      </w:r>
      <w:r w:rsidR="00A558B1" w:rsidRPr="00487085">
        <w:rPr>
          <w:rFonts w:eastAsia="標楷體" w:hAnsi="標楷體"/>
          <w:sz w:val="22"/>
        </w:rPr>
        <w:t>內容</w:t>
      </w:r>
      <w:r w:rsidR="00A36C94" w:rsidRPr="00487085">
        <w:rPr>
          <w:rFonts w:eastAsia="標楷體" w:hAnsi="標楷體"/>
          <w:sz w:val="22"/>
        </w:rPr>
        <w:t>發表意見，</w:t>
      </w:r>
      <w:r w:rsidR="00EF3BE1" w:rsidRPr="00487085">
        <w:rPr>
          <w:rFonts w:eastAsia="標楷體" w:hAnsi="標楷體"/>
          <w:sz w:val="22"/>
        </w:rPr>
        <w:t>或</w:t>
      </w:r>
      <w:r w:rsidR="00A36C94" w:rsidRPr="00487085">
        <w:rPr>
          <w:rFonts w:eastAsia="標楷體" w:hAnsi="標楷體"/>
          <w:sz w:val="22"/>
        </w:rPr>
        <w:t>提出</w:t>
      </w:r>
      <w:r w:rsidR="00EF3BE1" w:rsidRPr="00487085">
        <w:rPr>
          <w:rFonts w:eastAsia="標楷體" w:hAnsi="標楷體"/>
          <w:sz w:val="22"/>
        </w:rPr>
        <w:t>任何符合本公開</w:t>
      </w:r>
      <w:r w:rsidR="00CE71DE">
        <w:rPr>
          <w:rFonts w:eastAsia="標楷體" w:hAnsi="標楷體"/>
          <w:sz w:val="22"/>
        </w:rPr>
        <w:t>徵</w:t>
      </w:r>
      <w:r w:rsidR="00EF3BE1" w:rsidRPr="00487085">
        <w:rPr>
          <w:rFonts w:eastAsia="標楷體" w:hAnsi="標楷體"/>
          <w:sz w:val="22"/>
        </w:rPr>
        <w:t>詢精神</w:t>
      </w:r>
      <w:r w:rsidR="00A36C94" w:rsidRPr="00487085">
        <w:rPr>
          <w:rFonts w:eastAsia="標楷體" w:hAnsi="標楷體"/>
          <w:sz w:val="22"/>
        </w:rPr>
        <w:t>之其他事宜</w:t>
      </w:r>
      <w:r w:rsidR="00D44E68" w:rsidRPr="00487085">
        <w:rPr>
          <w:rFonts w:eastAsia="標楷體"/>
          <w:sz w:val="22"/>
        </w:rPr>
        <w:t>(</w:t>
      </w:r>
      <w:r w:rsidR="00D44E68" w:rsidRPr="00487085">
        <w:rPr>
          <w:rFonts w:eastAsia="標楷體" w:hAnsi="標楷體"/>
          <w:sz w:val="22"/>
        </w:rPr>
        <w:t>例如從被投資公司之角度是否支持或反對本守則？遵循本守則可能產生之成本與效益？盡責管理之情形哪些應該公開、哪些不宜揭露</w:t>
      </w:r>
      <w:r w:rsidR="00D44E68" w:rsidRPr="00487085">
        <w:rPr>
          <w:rFonts w:eastAsia="標楷體"/>
          <w:sz w:val="22"/>
        </w:rPr>
        <w:t>…</w:t>
      </w:r>
      <w:r w:rsidR="00D44E68" w:rsidRPr="00487085">
        <w:rPr>
          <w:rFonts w:eastAsia="標楷體" w:hAnsi="標楷體"/>
          <w:sz w:val="22"/>
        </w:rPr>
        <w:t>等</w:t>
      </w:r>
      <w:r w:rsidR="00D44E68" w:rsidRPr="00487085">
        <w:rPr>
          <w:rFonts w:eastAsia="標楷體"/>
          <w:sz w:val="22"/>
        </w:rPr>
        <w:t>)</w:t>
      </w:r>
      <w:r w:rsidR="008F2F55" w:rsidRPr="00487085">
        <w:rPr>
          <w:rFonts w:eastAsia="標楷體" w:hAnsi="標楷體"/>
          <w:sz w:val="22"/>
        </w:rPr>
        <w:t>，</w:t>
      </w:r>
      <w:r w:rsidR="003E1CAD" w:rsidRPr="00487085">
        <w:rPr>
          <w:rFonts w:eastAsia="標楷體" w:hAnsi="標楷體"/>
          <w:sz w:val="22"/>
        </w:rPr>
        <w:t>並填具下表後回傳至</w:t>
      </w:r>
      <w:r w:rsidR="003E1CAD" w:rsidRPr="00487085">
        <w:rPr>
          <w:rFonts w:eastAsia="標楷體"/>
          <w:sz w:val="22"/>
        </w:rPr>
        <w:t>1211@twse.com.tw</w:t>
      </w:r>
      <w:r w:rsidR="003E1CAD" w:rsidRPr="00487085">
        <w:rPr>
          <w:rFonts w:eastAsia="標楷體" w:hAnsi="標楷體"/>
          <w:sz w:val="22"/>
        </w:rPr>
        <w:t>信箱</w:t>
      </w:r>
      <w:r w:rsidR="00345149" w:rsidRPr="00487085">
        <w:rPr>
          <w:rFonts w:eastAsia="標楷體" w:hAnsi="標楷體"/>
          <w:sz w:val="22"/>
        </w:rPr>
        <w:t>：</w:t>
      </w:r>
      <w:r w:rsidR="00345149" w:rsidRPr="00487085">
        <w:rPr>
          <w:rFonts w:eastAsia="標楷體"/>
          <w:sz w:val="22"/>
        </w:rPr>
        <w:t xml:space="preserve"> </w:t>
      </w:r>
    </w:p>
    <w:p w:rsidR="008127D5" w:rsidRPr="00767182" w:rsidRDefault="008127D5" w:rsidP="004E6BB7">
      <w:pPr>
        <w:pStyle w:val="a3"/>
        <w:ind w:leftChars="0" w:left="360"/>
        <w:jc w:val="both"/>
        <w:rPr>
          <w:rFonts w:eastAsia="標楷體"/>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701"/>
        <w:gridCol w:w="1843"/>
        <w:gridCol w:w="2602"/>
      </w:tblGrid>
      <w:tr w:rsidR="008A3499" w:rsidRPr="00466BCB" w:rsidTr="00466BCB">
        <w:tc>
          <w:tcPr>
            <w:tcW w:w="1842" w:type="dxa"/>
          </w:tcPr>
          <w:p w:rsidR="004E6BB7" w:rsidRPr="00466BCB" w:rsidRDefault="00825212"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機構名稱</w:t>
            </w:r>
          </w:p>
        </w:tc>
        <w:tc>
          <w:tcPr>
            <w:tcW w:w="1701" w:type="dxa"/>
          </w:tcPr>
          <w:p w:rsidR="004E6BB7" w:rsidRPr="00466BCB" w:rsidRDefault="00825212"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機構屬性</w:t>
            </w:r>
          </w:p>
        </w:tc>
        <w:tc>
          <w:tcPr>
            <w:tcW w:w="1843" w:type="dxa"/>
          </w:tcPr>
          <w:p w:rsidR="004E6BB7" w:rsidRPr="00466BCB" w:rsidRDefault="00825212"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姓名</w:t>
            </w:r>
          </w:p>
        </w:tc>
        <w:tc>
          <w:tcPr>
            <w:tcW w:w="2602" w:type="dxa"/>
          </w:tcPr>
          <w:p w:rsidR="004E6BB7" w:rsidRPr="00466BCB" w:rsidRDefault="00825212"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聯絡方式</w:t>
            </w:r>
          </w:p>
        </w:tc>
      </w:tr>
      <w:tr w:rsidR="008A3499" w:rsidRPr="00466BCB" w:rsidTr="00466BCB">
        <w:tc>
          <w:tcPr>
            <w:tcW w:w="1842" w:type="dxa"/>
            <w:tcBorders>
              <w:bottom w:val="thinThickLargeGap" w:sz="24" w:space="0" w:color="auto"/>
            </w:tcBorders>
          </w:tcPr>
          <w:p w:rsidR="004E6BB7" w:rsidRPr="00466BCB" w:rsidRDefault="004E6BB7" w:rsidP="00466BCB">
            <w:pPr>
              <w:pStyle w:val="Default"/>
              <w:spacing w:after="275"/>
              <w:jc w:val="both"/>
              <w:rPr>
                <w:rFonts w:ascii="Calibri" w:eastAsia="標楷體" w:cs="Wingdings"/>
                <w:sz w:val="22"/>
                <w:szCs w:val="22"/>
              </w:rPr>
            </w:pPr>
          </w:p>
        </w:tc>
        <w:tc>
          <w:tcPr>
            <w:tcW w:w="1701" w:type="dxa"/>
            <w:tcBorders>
              <w:bottom w:val="thinThickLargeGap" w:sz="24" w:space="0" w:color="auto"/>
            </w:tcBorders>
          </w:tcPr>
          <w:p w:rsidR="004E6BB7" w:rsidRPr="00466BCB" w:rsidRDefault="00825212"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例：銀行、投信</w:t>
            </w:r>
            <w:r w:rsidRPr="00466BCB">
              <w:rPr>
                <w:rFonts w:ascii="Calibri" w:eastAsia="標楷體" w:cs="Wingdings"/>
                <w:sz w:val="22"/>
                <w:szCs w:val="22"/>
              </w:rPr>
              <w:t>…</w:t>
            </w:r>
          </w:p>
        </w:tc>
        <w:tc>
          <w:tcPr>
            <w:tcW w:w="1843" w:type="dxa"/>
            <w:tcBorders>
              <w:bottom w:val="thinThickLargeGap" w:sz="24" w:space="0" w:color="auto"/>
            </w:tcBorders>
          </w:tcPr>
          <w:p w:rsidR="004E6BB7" w:rsidRPr="00466BCB" w:rsidRDefault="004E6BB7" w:rsidP="00466BCB">
            <w:pPr>
              <w:pStyle w:val="Default"/>
              <w:spacing w:after="275"/>
              <w:jc w:val="both"/>
              <w:rPr>
                <w:rFonts w:ascii="Calibri" w:eastAsia="標楷體" w:cs="Wingdings"/>
                <w:sz w:val="22"/>
                <w:szCs w:val="22"/>
              </w:rPr>
            </w:pPr>
          </w:p>
        </w:tc>
        <w:tc>
          <w:tcPr>
            <w:tcW w:w="2602" w:type="dxa"/>
            <w:tcBorders>
              <w:bottom w:val="thinThickLargeGap" w:sz="24" w:space="0" w:color="auto"/>
            </w:tcBorders>
          </w:tcPr>
          <w:p w:rsidR="004E6BB7" w:rsidRPr="00466BCB" w:rsidRDefault="004E6BB7" w:rsidP="00466BCB">
            <w:pPr>
              <w:pStyle w:val="Default"/>
              <w:spacing w:after="275"/>
              <w:jc w:val="both"/>
              <w:rPr>
                <w:rFonts w:ascii="Calibri" w:eastAsia="標楷體" w:cs="Wingdings"/>
                <w:sz w:val="22"/>
                <w:szCs w:val="22"/>
              </w:rPr>
            </w:pPr>
          </w:p>
        </w:tc>
      </w:tr>
      <w:tr w:rsidR="004E6BB7" w:rsidRPr="00466BCB" w:rsidTr="00466BCB">
        <w:tc>
          <w:tcPr>
            <w:tcW w:w="1842" w:type="dxa"/>
            <w:tcBorders>
              <w:top w:val="thinThickLargeGap" w:sz="24" w:space="0" w:color="auto"/>
            </w:tcBorders>
          </w:tcPr>
          <w:p w:rsidR="004E6BB7" w:rsidRPr="00466BCB" w:rsidRDefault="003E1CAD"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意見係針對守則的哪</w:t>
            </w:r>
            <w:proofErr w:type="gramStart"/>
            <w:r w:rsidRPr="00466BCB">
              <w:rPr>
                <w:rFonts w:ascii="Calibri" w:eastAsia="標楷體" w:hAnsi="標楷體" w:cs="Wingdings"/>
                <w:sz w:val="22"/>
                <w:szCs w:val="22"/>
              </w:rPr>
              <w:t>個</w:t>
            </w:r>
            <w:proofErr w:type="gramEnd"/>
            <w:r w:rsidRPr="00466BCB">
              <w:rPr>
                <w:rFonts w:ascii="Calibri" w:eastAsia="標楷體" w:hAnsi="標楷體" w:cs="Wingdings"/>
                <w:sz w:val="22"/>
                <w:szCs w:val="22"/>
              </w:rPr>
              <w:t>部分提出</w:t>
            </w:r>
          </w:p>
        </w:tc>
        <w:tc>
          <w:tcPr>
            <w:tcW w:w="6146" w:type="dxa"/>
            <w:gridSpan w:val="3"/>
            <w:tcBorders>
              <w:top w:val="thinThickLargeGap" w:sz="24" w:space="0" w:color="auto"/>
            </w:tcBorders>
          </w:tcPr>
          <w:p w:rsidR="004E6BB7" w:rsidRPr="00466BCB" w:rsidRDefault="003E1CAD"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意見內容</w:t>
            </w:r>
            <w:r w:rsidRPr="00466BCB">
              <w:rPr>
                <w:rFonts w:ascii="Calibri" w:eastAsia="標楷體" w:cs="Wingdings"/>
                <w:sz w:val="22"/>
                <w:szCs w:val="22"/>
              </w:rPr>
              <w:t xml:space="preserve"> (</w:t>
            </w:r>
            <w:r w:rsidRPr="00466BCB">
              <w:rPr>
                <w:rFonts w:ascii="Calibri" w:eastAsia="標楷體" w:hAnsi="標楷體" w:cs="Wingdings"/>
                <w:sz w:val="22"/>
                <w:szCs w:val="22"/>
              </w:rPr>
              <w:t>請於以下欄位提供您的寶貴意見，若有多項意見請自行增加欄位。</w:t>
            </w:r>
            <w:r w:rsidRPr="00466BCB">
              <w:rPr>
                <w:rFonts w:ascii="Calibri" w:eastAsia="標楷體" w:cs="Wingdings"/>
                <w:sz w:val="22"/>
                <w:szCs w:val="22"/>
              </w:rPr>
              <w:t>)</w:t>
            </w:r>
          </w:p>
        </w:tc>
      </w:tr>
      <w:tr w:rsidR="004E6BB7" w:rsidRPr="00466BCB" w:rsidTr="00466BCB">
        <w:trPr>
          <w:trHeight w:val="1004"/>
        </w:trPr>
        <w:tc>
          <w:tcPr>
            <w:tcW w:w="1842" w:type="dxa"/>
          </w:tcPr>
          <w:p w:rsidR="004E6BB7" w:rsidRPr="00466BCB" w:rsidRDefault="003E1CAD" w:rsidP="00466BCB">
            <w:pPr>
              <w:pStyle w:val="Default"/>
              <w:spacing w:after="275"/>
              <w:jc w:val="both"/>
              <w:rPr>
                <w:rFonts w:ascii="Calibri" w:eastAsia="標楷體" w:cs="Wingdings"/>
                <w:sz w:val="22"/>
                <w:szCs w:val="22"/>
              </w:rPr>
            </w:pPr>
            <w:r w:rsidRPr="00466BCB">
              <w:rPr>
                <w:rFonts w:ascii="Calibri" w:eastAsia="標楷體" w:hAnsi="標楷體" w:cs="Wingdings"/>
                <w:sz w:val="22"/>
                <w:szCs w:val="22"/>
              </w:rPr>
              <w:t>例：指引</w:t>
            </w:r>
            <w:r w:rsidRPr="00466BCB">
              <w:rPr>
                <w:rFonts w:ascii="Calibri" w:eastAsia="標楷體" w:cs="Wingdings"/>
                <w:sz w:val="22"/>
                <w:szCs w:val="22"/>
              </w:rPr>
              <w:t>1-1</w:t>
            </w:r>
            <w:r w:rsidRPr="00466BCB">
              <w:rPr>
                <w:rFonts w:ascii="Calibri" w:eastAsia="標楷體" w:hAnsi="標楷體" w:cs="Wingdings"/>
                <w:sz w:val="22"/>
                <w:szCs w:val="22"/>
              </w:rPr>
              <w:t>、原則</w:t>
            </w:r>
            <w:r w:rsidRPr="00466BCB">
              <w:rPr>
                <w:rFonts w:ascii="Calibri" w:eastAsia="標楷體" w:cs="Wingdings"/>
                <w:sz w:val="22"/>
                <w:szCs w:val="22"/>
              </w:rPr>
              <w:t>2</w:t>
            </w:r>
            <w:r w:rsidR="00DF6790" w:rsidRPr="00466BCB">
              <w:rPr>
                <w:rFonts w:ascii="Calibri" w:eastAsia="標楷體" w:hAnsi="標楷體" w:cs="Wingdings" w:hint="eastAsia"/>
                <w:sz w:val="22"/>
                <w:szCs w:val="22"/>
              </w:rPr>
              <w:t>或其他建議</w:t>
            </w:r>
          </w:p>
        </w:tc>
        <w:tc>
          <w:tcPr>
            <w:tcW w:w="6146" w:type="dxa"/>
            <w:gridSpan w:val="3"/>
          </w:tcPr>
          <w:p w:rsidR="004E6BB7" w:rsidRPr="00466BCB" w:rsidRDefault="004E6BB7" w:rsidP="00466BCB">
            <w:pPr>
              <w:pStyle w:val="Default"/>
              <w:spacing w:after="275"/>
              <w:jc w:val="both"/>
              <w:rPr>
                <w:rFonts w:ascii="Calibri" w:eastAsia="標楷體" w:cs="Wingdings"/>
                <w:sz w:val="22"/>
                <w:szCs w:val="22"/>
              </w:rPr>
            </w:pPr>
          </w:p>
        </w:tc>
      </w:tr>
    </w:tbl>
    <w:p w:rsidR="003E2B86" w:rsidRPr="00767182" w:rsidRDefault="003E2B86" w:rsidP="003E2B86">
      <w:pPr>
        <w:snapToGrid w:val="0"/>
        <w:ind w:leftChars="177" w:left="425"/>
        <w:rPr>
          <w:rFonts w:eastAsia="標楷體"/>
          <w:b/>
          <w:sz w:val="20"/>
          <w:szCs w:val="20"/>
        </w:rPr>
      </w:pPr>
      <w:r w:rsidRPr="00767182">
        <w:rPr>
          <w:rFonts w:eastAsia="標楷體" w:hAnsi="標楷體"/>
          <w:b/>
          <w:sz w:val="20"/>
          <w:szCs w:val="20"/>
        </w:rPr>
        <w:t>個人資料蒐集處理利用告知事項</w:t>
      </w:r>
    </w:p>
    <w:p w:rsidR="003E2B86" w:rsidRPr="0060041F" w:rsidRDefault="003E2B86" w:rsidP="00884969">
      <w:pPr>
        <w:snapToGrid w:val="0"/>
        <w:ind w:leftChars="177" w:left="425"/>
        <w:jc w:val="both"/>
        <w:rPr>
          <w:rFonts w:eastAsia="標楷體" w:hAnsi="標楷體"/>
          <w:sz w:val="20"/>
          <w:szCs w:val="20"/>
        </w:rPr>
      </w:pPr>
      <w:r w:rsidRPr="0060041F">
        <w:rPr>
          <w:rFonts w:eastAsia="標楷體" w:hAnsi="標楷體"/>
          <w:sz w:val="20"/>
          <w:szCs w:val="20"/>
        </w:rPr>
        <w:t>臺灣證券交易所股份有限公司</w:t>
      </w:r>
      <w:r w:rsidRPr="0060041F">
        <w:rPr>
          <w:rFonts w:eastAsia="標楷體" w:hAnsi="標楷體"/>
          <w:sz w:val="20"/>
          <w:szCs w:val="20"/>
        </w:rPr>
        <w:t>(</w:t>
      </w:r>
      <w:r w:rsidRPr="0060041F">
        <w:rPr>
          <w:rFonts w:eastAsia="標楷體" w:hAnsi="標楷體"/>
          <w:sz w:val="20"/>
          <w:szCs w:val="20"/>
        </w:rPr>
        <w:t>以下稱「本公司」</w:t>
      </w:r>
      <w:r w:rsidRPr="0060041F">
        <w:rPr>
          <w:rFonts w:eastAsia="標楷體" w:hAnsi="標楷體"/>
          <w:sz w:val="20"/>
          <w:szCs w:val="20"/>
        </w:rPr>
        <w:t>)</w:t>
      </w:r>
      <w:r w:rsidRPr="0060041F">
        <w:rPr>
          <w:rFonts w:eastAsia="標楷體" w:hAnsi="標楷體"/>
          <w:sz w:val="20"/>
          <w:szCs w:val="20"/>
        </w:rPr>
        <w:t>為辦理「機構投資人盡責管理守則」草案意見徵詢，蒐集、處理及利用您的個人資料，為了保障您的權益，請務必詳細閱讀以下各項內容：</w:t>
      </w:r>
    </w:p>
    <w:p w:rsidR="003E2B86" w:rsidRPr="0060041F" w:rsidRDefault="003E2B86" w:rsidP="003E2B86">
      <w:pPr>
        <w:snapToGrid w:val="0"/>
        <w:ind w:leftChars="177" w:left="425"/>
        <w:jc w:val="both"/>
        <w:rPr>
          <w:rFonts w:eastAsia="標楷體"/>
          <w:sz w:val="20"/>
          <w:szCs w:val="20"/>
        </w:rPr>
      </w:pPr>
      <w:r w:rsidRPr="0060041F">
        <w:rPr>
          <w:rFonts w:eastAsia="標楷體" w:hAnsi="標楷體"/>
          <w:sz w:val="20"/>
          <w:szCs w:val="20"/>
        </w:rPr>
        <w:t>一、蒐集之目的：僅使用於本</w:t>
      </w:r>
      <w:r w:rsidR="00237E59" w:rsidRPr="0060041F">
        <w:rPr>
          <w:rFonts w:eastAsia="標楷體" w:hAnsi="標楷體"/>
          <w:sz w:val="20"/>
          <w:szCs w:val="20"/>
        </w:rPr>
        <w:t>次意見徵詢</w:t>
      </w:r>
      <w:r w:rsidRPr="0060041F">
        <w:rPr>
          <w:rFonts w:eastAsia="標楷體" w:hAnsi="標楷體"/>
          <w:sz w:val="20"/>
          <w:szCs w:val="20"/>
        </w:rPr>
        <w:t>相關作業事宜。</w:t>
      </w:r>
    </w:p>
    <w:p w:rsidR="003E2B86" w:rsidRPr="0060041F" w:rsidRDefault="003E2B86" w:rsidP="003E2B86">
      <w:pPr>
        <w:snapToGrid w:val="0"/>
        <w:ind w:leftChars="177" w:left="425"/>
        <w:jc w:val="both"/>
        <w:rPr>
          <w:rFonts w:eastAsia="標楷體"/>
          <w:sz w:val="20"/>
          <w:szCs w:val="20"/>
        </w:rPr>
      </w:pPr>
      <w:r w:rsidRPr="0060041F">
        <w:rPr>
          <w:rFonts w:eastAsia="標楷體" w:hAnsi="標楷體"/>
          <w:sz w:val="20"/>
          <w:szCs w:val="20"/>
        </w:rPr>
        <w:t>二、個人資料之類別：</w:t>
      </w:r>
      <w:r w:rsidRPr="0060041F">
        <w:rPr>
          <w:rFonts w:eastAsia="標楷體"/>
          <w:sz w:val="20"/>
          <w:szCs w:val="20"/>
        </w:rPr>
        <w:t xml:space="preserve"> C001</w:t>
      </w:r>
      <w:r w:rsidRPr="0060041F">
        <w:rPr>
          <w:rFonts w:eastAsia="標楷體" w:hAnsi="標楷體"/>
          <w:sz w:val="20"/>
          <w:szCs w:val="20"/>
        </w:rPr>
        <w:t>辨識個人者。</w:t>
      </w:r>
    </w:p>
    <w:p w:rsidR="003E2B86" w:rsidRPr="0060041F" w:rsidRDefault="003E2B86" w:rsidP="003E2B86">
      <w:pPr>
        <w:snapToGrid w:val="0"/>
        <w:ind w:leftChars="177" w:left="425"/>
        <w:jc w:val="both"/>
        <w:rPr>
          <w:rFonts w:eastAsia="標楷體"/>
          <w:sz w:val="20"/>
          <w:szCs w:val="20"/>
        </w:rPr>
      </w:pPr>
      <w:r w:rsidRPr="0060041F">
        <w:rPr>
          <w:rFonts w:eastAsia="標楷體" w:hAnsi="標楷體"/>
          <w:sz w:val="20"/>
          <w:szCs w:val="20"/>
        </w:rPr>
        <w:t>三、個人資料利用之</w:t>
      </w:r>
      <w:proofErr w:type="gramStart"/>
      <w:r w:rsidRPr="0060041F">
        <w:rPr>
          <w:rFonts w:eastAsia="標楷體" w:hAnsi="標楷體"/>
          <w:sz w:val="20"/>
          <w:szCs w:val="20"/>
        </w:rPr>
        <w:t>期間、</w:t>
      </w:r>
      <w:proofErr w:type="gramEnd"/>
      <w:r w:rsidRPr="0060041F">
        <w:rPr>
          <w:rFonts w:eastAsia="標楷體" w:hAnsi="標楷體"/>
          <w:sz w:val="20"/>
          <w:szCs w:val="20"/>
        </w:rPr>
        <w:t>地區、對象及方式：</w:t>
      </w:r>
    </w:p>
    <w:p w:rsidR="003E2B86" w:rsidRPr="0060041F" w:rsidRDefault="003E2B86" w:rsidP="00CD4993">
      <w:pPr>
        <w:tabs>
          <w:tab w:val="left" w:pos="567"/>
        </w:tabs>
        <w:snapToGrid w:val="0"/>
        <w:ind w:leftChars="177" w:left="425"/>
        <w:jc w:val="both"/>
        <w:rPr>
          <w:rFonts w:eastAsia="標楷體"/>
          <w:sz w:val="20"/>
          <w:szCs w:val="20"/>
        </w:rPr>
      </w:pPr>
      <w:r w:rsidRPr="0060041F">
        <w:rPr>
          <w:rFonts w:eastAsia="標楷體"/>
          <w:sz w:val="20"/>
          <w:szCs w:val="20"/>
        </w:rPr>
        <w:t>(</w:t>
      </w:r>
      <w:r w:rsidRPr="0060041F">
        <w:rPr>
          <w:rFonts w:eastAsia="標楷體" w:hAnsi="標楷體"/>
          <w:sz w:val="20"/>
          <w:szCs w:val="20"/>
        </w:rPr>
        <w:t>一</w:t>
      </w:r>
      <w:r w:rsidRPr="0060041F">
        <w:rPr>
          <w:rFonts w:eastAsia="標楷體"/>
          <w:sz w:val="20"/>
          <w:szCs w:val="20"/>
        </w:rPr>
        <w:t>)</w:t>
      </w:r>
      <w:r w:rsidRPr="0060041F">
        <w:rPr>
          <w:rFonts w:eastAsia="標楷體" w:hAnsi="標楷體"/>
          <w:sz w:val="20"/>
          <w:szCs w:val="20"/>
        </w:rPr>
        <w:t>、期間：僅在本</w:t>
      </w:r>
      <w:r w:rsidR="00043B1E" w:rsidRPr="0060041F">
        <w:rPr>
          <w:rFonts w:eastAsia="標楷體" w:hAnsi="標楷體"/>
          <w:sz w:val="20"/>
          <w:szCs w:val="20"/>
        </w:rPr>
        <w:t>意見徵詢</w:t>
      </w:r>
      <w:r w:rsidR="00DA30DD" w:rsidRPr="0060041F">
        <w:rPr>
          <w:rFonts w:eastAsia="標楷體" w:hAnsi="標楷體"/>
          <w:sz w:val="20"/>
          <w:szCs w:val="20"/>
        </w:rPr>
        <w:t>期間</w:t>
      </w:r>
      <w:r w:rsidRPr="0060041F">
        <w:rPr>
          <w:rFonts w:eastAsia="標楷體" w:hAnsi="標楷體"/>
          <w:sz w:val="20"/>
          <w:szCs w:val="20"/>
        </w:rPr>
        <w:t>及後續相關事宜就您所提供</w:t>
      </w:r>
      <w:r w:rsidR="009444C5">
        <w:rPr>
          <w:rFonts w:eastAsia="標楷體" w:hAnsi="標楷體" w:hint="eastAsia"/>
          <w:sz w:val="20"/>
          <w:szCs w:val="20"/>
        </w:rPr>
        <w:t>之個人資料</w:t>
      </w:r>
      <w:r w:rsidRPr="0060041F">
        <w:rPr>
          <w:rFonts w:eastAsia="標楷體" w:hAnsi="標楷體"/>
          <w:sz w:val="20"/>
          <w:szCs w:val="20"/>
        </w:rPr>
        <w:t>進行處理與利用，並於</w:t>
      </w:r>
      <w:r w:rsidR="00DA30DD" w:rsidRPr="0060041F">
        <w:rPr>
          <w:rFonts w:eastAsia="標楷體" w:hAnsi="標楷體"/>
          <w:sz w:val="20"/>
          <w:szCs w:val="20"/>
        </w:rPr>
        <w:t>意見徵詢</w:t>
      </w:r>
      <w:r w:rsidRPr="0060041F">
        <w:rPr>
          <w:rFonts w:eastAsia="標楷體" w:hAnsi="標楷體"/>
          <w:sz w:val="20"/>
          <w:szCs w:val="20"/>
        </w:rPr>
        <w:t>結束後</w:t>
      </w:r>
      <w:r w:rsidR="00DA30DD" w:rsidRPr="0060041F">
        <w:rPr>
          <w:rFonts w:eastAsia="標楷體" w:hAnsi="標楷體"/>
          <w:sz w:val="20"/>
          <w:szCs w:val="20"/>
        </w:rPr>
        <w:t>一年</w:t>
      </w:r>
      <w:r w:rsidR="009444C5">
        <w:rPr>
          <w:rFonts w:eastAsia="標楷體" w:hAnsi="標楷體" w:hint="eastAsia"/>
          <w:sz w:val="20"/>
          <w:szCs w:val="20"/>
        </w:rPr>
        <w:t>刪除</w:t>
      </w:r>
      <w:r w:rsidRPr="0060041F">
        <w:rPr>
          <w:rFonts w:eastAsia="標楷體" w:hAnsi="標楷體"/>
          <w:sz w:val="20"/>
          <w:szCs w:val="20"/>
        </w:rPr>
        <w:t>。</w:t>
      </w:r>
    </w:p>
    <w:p w:rsidR="003E2B86" w:rsidRPr="0060041F" w:rsidRDefault="003E2B86" w:rsidP="003E2B86">
      <w:pPr>
        <w:tabs>
          <w:tab w:val="left" w:pos="567"/>
        </w:tabs>
        <w:snapToGrid w:val="0"/>
        <w:ind w:leftChars="177" w:left="425"/>
        <w:jc w:val="both"/>
        <w:rPr>
          <w:rFonts w:eastAsia="標楷體"/>
          <w:sz w:val="20"/>
          <w:szCs w:val="20"/>
        </w:rPr>
      </w:pPr>
      <w:r w:rsidRPr="0060041F">
        <w:rPr>
          <w:rFonts w:eastAsia="標楷體"/>
          <w:sz w:val="20"/>
          <w:szCs w:val="20"/>
        </w:rPr>
        <w:t>(</w:t>
      </w:r>
      <w:r w:rsidRPr="0060041F">
        <w:rPr>
          <w:rFonts w:eastAsia="標楷體" w:hAnsi="標楷體"/>
          <w:sz w:val="20"/>
          <w:szCs w:val="20"/>
        </w:rPr>
        <w:t>二</w:t>
      </w:r>
      <w:r w:rsidRPr="0060041F">
        <w:rPr>
          <w:rFonts w:eastAsia="標楷體"/>
          <w:sz w:val="20"/>
          <w:szCs w:val="20"/>
        </w:rPr>
        <w:t>)</w:t>
      </w:r>
      <w:r w:rsidRPr="0060041F">
        <w:rPr>
          <w:rFonts w:eastAsia="標楷體" w:hAnsi="標楷體"/>
          <w:sz w:val="20"/>
          <w:szCs w:val="20"/>
        </w:rPr>
        <w:t>、地區：中華民國境內</w:t>
      </w:r>
      <w:r w:rsidR="00153AFB" w:rsidRPr="0060041F">
        <w:rPr>
          <w:rFonts w:eastAsia="標楷體" w:hAnsi="標楷體"/>
          <w:sz w:val="20"/>
          <w:szCs w:val="20"/>
        </w:rPr>
        <w:t>與境外</w:t>
      </w:r>
      <w:r w:rsidRPr="0060041F">
        <w:rPr>
          <w:rFonts w:eastAsia="標楷體" w:hAnsi="標楷體"/>
          <w:sz w:val="20"/>
          <w:szCs w:val="20"/>
        </w:rPr>
        <w:t>。</w:t>
      </w:r>
    </w:p>
    <w:p w:rsidR="003E2B86" w:rsidRPr="0060041F" w:rsidRDefault="003E2B86" w:rsidP="003E2B86">
      <w:pPr>
        <w:tabs>
          <w:tab w:val="left" w:pos="567"/>
        </w:tabs>
        <w:snapToGrid w:val="0"/>
        <w:ind w:leftChars="177" w:left="425"/>
        <w:jc w:val="both"/>
        <w:rPr>
          <w:rFonts w:eastAsia="標楷體"/>
          <w:sz w:val="20"/>
          <w:szCs w:val="20"/>
        </w:rPr>
      </w:pPr>
      <w:r w:rsidRPr="0060041F">
        <w:rPr>
          <w:rFonts w:eastAsia="標楷體"/>
          <w:sz w:val="20"/>
          <w:szCs w:val="20"/>
        </w:rPr>
        <w:t>(</w:t>
      </w:r>
      <w:r w:rsidRPr="0060041F">
        <w:rPr>
          <w:rFonts w:eastAsia="標楷體" w:hAnsi="標楷體"/>
          <w:sz w:val="20"/>
          <w:szCs w:val="20"/>
        </w:rPr>
        <w:t>三</w:t>
      </w:r>
      <w:r w:rsidRPr="0060041F">
        <w:rPr>
          <w:rFonts w:eastAsia="標楷體"/>
          <w:sz w:val="20"/>
          <w:szCs w:val="20"/>
        </w:rPr>
        <w:t>)</w:t>
      </w:r>
      <w:r w:rsidRPr="0060041F">
        <w:rPr>
          <w:rFonts w:eastAsia="標楷體" w:hAnsi="標楷體"/>
          <w:sz w:val="20"/>
          <w:szCs w:val="20"/>
        </w:rPr>
        <w:t>、對象：由本公司自行利用，或依法令規定提供予本公司目的事業主管機關或其他第三方。</w:t>
      </w:r>
    </w:p>
    <w:p w:rsidR="003E2B86" w:rsidRPr="0060041F" w:rsidRDefault="003E2B86" w:rsidP="003E2B86">
      <w:pPr>
        <w:tabs>
          <w:tab w:val="left" w:pos="567"/>
        </w:tabs>
        <w:snapToGrid w:val="0"/>
        <w:ind w:leftChars="177" w:left="425"/>
        <w:jc w:val="both"/>
        <w:rPr>
          <w:rFonts w:eastAsia="標楷體"/>
          <w:sz w:val="20"/>
          <w:szCs w:val="20"/>
        </w:rPr>
      </w:pPr>
      <w:r w:rsidRPr="0060041F">
        <w:rPr>
          <w:rFonts w:eastAsia="標楷體"/>
          <w:sz w:val="20"/>
          <w:szCs w:val="20"/>
        </w:rPr>
        <w:t>(</w:t>
      </w:r>
      <w:r w:rsidRPr="0060041F">
        <w:rPr>
          <w:rFonts w:eastAsia="標楷體" w:hAnsi="標楷體"/>
          <w:sz w:val="20"/>
          <w:szCs w:val="20"/>
        </w:rPr>
        <w:t>四</w:t>
      </w:r>
      <w:r w:rsidRPr="0060041F">
        <w:rPr>
          <w:rFonts w:eastAsia="標楷體"/>
          <w:sz w:val="20"/>
          <w:szCs w:val="20"/>
        </w:rPr>
        <w:t>)</w:t>
      </w:r>
      <w:r w:rsidRPr="0060041F">
        <w:rPr>
          <w:rFonts w:eastAsia="標楷體" w:hAnsi="標楷體"/>
          <w:sz w:val="20"/>
          <w:szCs w:val="20"/>
        </w:rPr>
        <w:t>、方式：本公司將透過數位檔案或實體紙本形式蒐集處理及利用您的個人資料。</w:t>
      </w:r>
    </w:p>
    <w:p w:rsidR="003E2B86" w:rsidRPr="0060041F" w:rsidRDefault="003E2B86" w:rsidP="003E2B86">
      <w:pPr>
        <w:snapToGrid w:val="0"/>
        <w:ind w:leftChars="177" w:left="425"/>
        <w:jc w:val="both"/>
        <w:rPr>
          <w:rFonts w:eastAsia="標楷體"/>
          <w:sz w:val="20"/>
          <w:szCs w:val="20"/>
        </w:rPr>
      </w:pPr>
      <w:r w:rsidRPr="0060041F">
        <w:rPr>
          <w:rFonts w:eastAsia="標楷體" w:hAnsi="標楷體"/>
          <w:sz w:val="20"/>
          <w:szCs w:val="20"/>
        </w:rPr>
        <w:t>四、當事人得行使權利之方式：您可透過電話及親臨本公司等方式行使個人資料保護法第三條當事人權利規定，包含行使個人資料查詢、閱覽、複製本、補充、更正、刪除及停止蒐集、處理或利用之要求。</w:t>
      </w:r>
    </w:p>
    <w:p w:rsidR="003E2B86" w:rsidRPr="0060041F" w:rsidRDefault="003E2B86" w:rsidP="003E2B86">
      <w:pPr>
        <w:snapToGrid w:val="0"/>
        <w:ind w:leftChars="177" w:left="425"/>
        <w:jc w:val="both"/>
        <w:rPr>
          <w:rFonts w:eastAsia="標楷體"/>
          <w:sz w:val="20"/>
          <w:szCs w:val="20"/>
        </w:rPr>
      </w:pPr>
      <w:r w:rsidRPr="0060041F">
        <w:rPr>
          <w:rFonts w:eastAsia="標楷體" w:hAnsi="標楷體"/>
          <w:sz w:val="20"/>
          <w:szCs w:val="20"/>
        </w:rPr>
        <w:t>五、當事人拒絕提供對其權利之影響：基於以上特定目的，若您未能或無法詳實提供以上之個人基本資料，本公司將無法</w:t>
      </w:r>
      <w:r w:rsidR="00DA30DD" w:rsidRPr="0060041F">
        <w:rPr>
          <w:rFonts w:eastAsia="標楷體" w:hAnsi="標楷體"/>
          <w:sz w:val="20"/>
          <w:szCs w:val="20"/>
        </w:rPr>
        <w:t>參考您的意見修訂「機構投資人盡責管理守則」草案</w:t>
      </w:r>
      <w:r w:rsidRPr="0060041F">
        <w:rPr>
          <w:rFonts w:eastAsia="標楷體" w:hAnsi="標楷體"/>
          <w:sz w:val="20"/>
          <w:szCs w:val="20"/>
        </w:rPr>
        <w:t>，恕</w:t>
      </w:r>
      <w:proofErr w:type="gramStart"/>
      <w:r w:rsidRPr="0060041F">
        <w:rPr>
          <w:rFonts w:eastAsia="標楷體" w:hAnsi="標楷體"/>
          <w:sz w:val="20"/>
          <w:szCs w:val="20"/>
        </w:rPr>
        <w:t>不</w:t>
      </w:r>
      <w:proofErr w:type="gramEnd"/>
      <w:r w:rsidRPr="0060041F">
        <w:rPr>
          <w:rFonts w:eastAsia="標楷體" w:hAnsi="標楷體"/>
          <w:sz w:val="20"/>
          <w:szCs w:val="20"/>
        </w:rPr>
        <w:t>另行通知。</w:t>
      </w:r>
    </w:p>
    <w:p w:rsidR="003E2B86" w:rsidRPr="0060041F" w:rsidRDefault="003E2B86" w:rsidP="003E2B86">
      <w:pPr>
        <w:snapToGrid w:val="0"/>
        <w:ind w:leftChars="177" w:left="425"/>
        <w:jc w:val="both"/>
        <w:rPr>
          <w:rFonts w:eastAsia="標楷體"/>
          <w:sz w:val="20"/>
          <w:szCs w:val="20"/>
        </w:rPr>
      </w:pPr>
      <w:r w:rsidRPr="0060041F">
        <w:rPr>
          <w:rFonts w:eastAsia="標楷體" w:hAnsi="標楷體"/>
          <w:sz w:val="20"/>
          <w:szCs w:val="20"/>
        </w:rPr>
        <w:t>若您需要更進一步了解您的個人資料之處理詳細情形，歡迎您與承辦人林先生</w:t>
      </w:r>
      <w:r w:rsidRPr="0060041F">
        <w:rPr>
          <w:rFonts w:eastAsia="標楷體"/>
          <w:sz w:val="20"/>
          <w:szCs w:val="20"/>
        </w:rPr>
        <w:t>(Email: 1211@twse.com.tw</w:t>
      </w:r>
      <w:r w:rsidRPr="0060041F">
        <w:rPr>
          <w:rFonts w:eastAsia="標楷體" w:hAnsi="標楷體"/>
          <w:sz w:val="20"/>
          <w:szCs w:val="20"/>
        </w:rPr>
        <w:t>、電話：</w:t>
      </w:r>
      <w:r w:rsidRPr="0060041F">
        <w:rPr>
          <w:rFonts w:eastAsia="標楷體"/>
          <w:sz w:val="20"/>
          <w:szCs w:val="20"/>
        </w:rPr>
        <w:t>02-81013909)</w:t>
      </w:r>
      <w:r w:rsidRPr="0060041F">
        <w:rPr>
          <w:rFonts w:eastAsia="標楷體" w:hAnsi="標楷體"/>
          <w:sz w:val="20"/>
          <w:szCs w:val="20"/>
        </w:rPr>
        <w:t>聯繫。</w:t>
      </w:r>
    </w:p>
    <w:p w:rsidR="004E6BB7" w:rsidRPr="00767182" w:rsidRDefault="004E6BB7">
      <w:pPr>
        <w:widowControl/>
        <w:rPr>
          <w:rFonts w:eastAsia="標楷體" w:cs="Wingdings"/>
          <w:color w:val="000000"/>
          <w:kern w:val="0"/>
          <w:sz w:val="22"/>
        </w:rPr>
      </w:pPr>
    </w:p>
    <w:p w:rsidR="0060041F" w:rsidRDefault="0060041F">
      <w:pPr>
        <w:widowControl/>
        <w:rPr>
          <w:rFonts w:eastAsia="標楷體" w:hAnsi="標楷體"/>
          <w:b/>
        </w:rPr>
      </w:pPr>
      <w:r>
        <w:rPr>
          <w:rFonts w:eastAsia="標楷體" w:hAnsi="標楷體"/>
          <w:b/>
        </w:rPr>
        <w:br w:type="page"/>
      </w:r>
    </w:p>
    <w:p w:rsidR="00295EC9" w:rsidRPr="0094738E" w:rsidRDefault="00295EC9" w:rsidP="00295EC9">
      <w:pPr>
        <w:jc w:val="both"/>
        <w:rPr>
          <w:rFonts w:eastAsia="標楷體"/>
          <w:b/>
          <w:sz w:val="28"/>
          <w:szCs w:val="28"/>
        </w:rPr>
      </w:pPr>
      <w:r w:rsidRPr="0094738E">
        <w:rPr>
          <w:rFonts w:eastAsia="標楷體" w:hAnsi="標楷體"/>
          <w:b/>
          <w:sz w:val="28"/>
          <w:szCs w:val="28"/>
        </w:rPr>
        <w:lastRenderedPageBreak/>
        <w:t>附件一：世界各國盡責管理相關規範</w:t>
      </w:r>
    </w:p>
    <w:p w:rsidR="00295EC9" w:rsidRPr="00767182" w:rsidRDefault="00295EC9" w:rsidP="00295EC9">
      <w:pPr>
        <w:autoSpaceDE w:val="0"/>
        <w:autoSpaceDN w:val="0"/>
        <w:adjustRightInd w:val="0"/>
        <w:rPr>
          <w:rFonts w:cs="Arial"/>
          <w:color w:val="000000"/>
          <w:kern w:val="0"/>
          <w:sz w:val="22"/>
        </w:rPr>
      </w:pPr>
    </w:p>
    <w:p w:rsidR="00295EC9" w:rsidRPr="00767182" w:rsidRDefault="00295EC9" w:rsidP="00740CB0">
      <w:pPr>
        <w:pStyle w:val="a3"/>
        <w:numPr>
          <w:ilvl w:val="0"/>
          <w:numId w:val="2"/>
        </w:numPr>
        <w:autoSpaceDE w:val="0"/>
        <w:autoSpaceDN w:val="0"/>
        <w:adjustRightInd w:val="0"/>
        <w:ind w:leftChars="0" w:left="567" w:hanging="567"/>
        <w:rPr>
          <w:rFonts w:eastAsia="標楷體" w:cs="Arial"/>
          <w:color w:val="000000"/>
          <w:kern w:val="0"/>
          <w:sz w:val="22"/>
        </w:rPr>
      </w:pPr>
      <w:r w:rsidRPr="00767182">
        <w:rPr>
          <w:rFonts w:eastAsia="標楷體" w:hAnsi="標楷體" w:cs="Arial"/>
          <w:color w:val="000000"/>
          <w:kern w:val="0"/>
          <w:sz w:val="22"/>
        </w:rPr>
        <w:t>加拿大</w:t>
      </w:r>
      <w:r w:rsidRPr="00767182">
        <w:rPr>
          <w:rFonts w:eastAsia="標楷體" w:cs="Arial"/>
          <w:color w:val="000000"/>
          <w:kern w:val="0"/>
          <w:sz w:val="22"/>
        </w:rPr>
        <w:t xml:space="preserve">: Principles for Governance Monitoring, Voting and Shareholder Engagement, Canadian Coalition for Good Governance, 2010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歐盟</w:t>
      </w:r>
      <w:r w:rsidRPr="00740CB0">
        <w:rPr>
          <w:rFonts w:eastAsia="標楷體" w:hAnsi="標楷體" w:cs="Arial"/>
          <w:color w:val="000000"/>
          <w:kern w:val="0"/>
          <w:sz w:val="22"/>
        </w:rPr>
        <w:t xml:space="preserve">: Code for External Governance, European Fund and Asset Management Association, 2011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香港</w:t>
      </w:r>
      <w:r w:rsidRPr="00740CB0">
        <w:rPr>
          <w:rFonts w:eastAsia="標楷體" w:hAnsi="標楷體" w:cs="Arial"/>
          <w:color w:val="000000"/>
          <w:kern w:val="0"/>
          <w:sz w:val="22"/>
        </w:rPr>
        <w:t xml:space="preserve">: Consultation Paper on the Principles of Responsible Stewardship, Securities and Futures Commission, 2015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義大利</w:t>
      </w:r>
      <w:r w:rsidRPr="00740CB0">
        <w:rPr>
          <w:rFonts w:eastAsia="標楷體" w:hAnsi="標楷體" w:cs="Arial"/>
          <w:color w:val="000000"/>
          <w:kern w:val="0"/>
          <w:sz w:val="22"/>
        </w:rPr>
        <w:t xml:space="preserve"> Stewardship Principles for the Exercise of Administrative and Voting Rights in Listed Companies, </w:t>
      </w:r>
      <w:proofErr w:type="spellStart"/>
      <w:r w:rsidRPr="00740CB0">
        <w:rPr>
          <w:rFonts w:eastAsia="標楷體" w:hAnsi="標楷體" w:cs="Arial"/>
          <w:color w:val="000000"/>
          <w:kern w:val="0"/>
          <w:sz w:val="22"/>
        </w:rPr>
        <w:t>Assogestioni</w:t>
      </w:r>
      <w:proofErr w:type="spellEnd"/>
      <w:r w:rsidRPr="00740CB0">
        <w:rPr>
          <w:rFonts w:eastAsia="標楷體" w:hAnsi="標楷體" w:cs="Arial"/>
          <w:color w:val="000000"/>
          <w:kern w:val="0"/>
          <w:sz w:val="22"/>
        </w:rPr>
        <w:t xml:space="preserve">, 2013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日本</w:t>
      </w:r>
      <w:r w:rsidRPr="00740CB0">
        <w:rPr>
          <w:rFonts w:eastAsia="標楷體" w:hAnsi="標楷體" w:cs="Arial"/>
          <w:color w:val="000000"/>
          <w:kern w:val="0"/>
          <w:sz w:val="22"/>
        </w:rPr>
        <w:t xml:space="preserve">: Principles for Responsible Institutional Investors, Financial Services Agency, 2014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肯亞：</w:t>
      </w:r>
      <w:r w:rsidRPr="00740CB0">
        <w:rPr>
          <w:rFonts w:eastAsia="標楷體" w:hAnsi="標楷體" w:cs="Arial"/>
          <w:color w:val="000000"/>
          <w:kern w:val="0"/>
          <w:sz w:val="22"/>
        </w:rPr>
        <w:t xml:space="preserve">Draft Stewardship Code for Institutional Investors, Capital Markets Authority, 2015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馬來西亞</w:t>
      </w:r>
      <w:r w:rsidRPr="00740CB0">
        <w:rPr>
          <w:rFonts w:eastAsia="標楷體" w:hAnsi="標楷體" w:cs="Arial"/>
          <w:color w:val="000000"/>
          <w:kern w:val="0"/>
          <w:sz w:val="22"/>
        </w:rPr>
        <w:t xml:space="preserve">: Code for Institutional Investors, Minority Shareholders Watchdog Group, 2014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荷蘭</w:t>
      </w:r>
      <w:r w:rsidRPr="00740CB0">
        <w:rPr>
          <w:rFonts w:eastAsia="標楷體" w:hAnsi="標楷體" w:cs="Arial"/>
          <w:color w:val="000000"/>
          <w:kern w:val="0"/>
          <w:sz w:val="22"/>
        </w:rPr>
        <w:t xml:space="preserve">: Best Practices for Engaged Share-Ownership, EUMEDION Corporate Governance Forum, 2011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南非</w:t>
      </w:r>
      <w:r w:rsidRPr="00740CB0">
        <w:rPr>
          <w:rFonts w:eastAsia="標楷體" w:hAnsi="標楷體" w:cs="Arial"/>
          <w:color w:val="000000"/>
          <w:kern w:val="0"/>
          <w:sz w:val="22"/>
        </w:rPr>
        <w:t xml:space="preserve">: Code for Responsible Investing, Institute of Directors of Southern Africa, 2011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瑞士</w:t>
      </w:r>
      <w:r w:rsidRPr="00740CB0">
        <w:rPr>
          <w:rFonts w:eastAsia="標楷體" w:hAnsi="標楷體" w:cs="Arial"/>
          <w:color w:val="000000"/>
          <w:kern w:val="0"/>
          <w:sz w:val="22"/>
        </w:rPr>
        <w:t xml:space="preserve">: Guidelines for institutional investors, governing the exercising of participation rights in public limited companies, Ethos Foundation, 2013 </w:t>
      </w:r>
    </w:p>
    <w:p w:rsidR="00295EC9" w:rsidRPr="00740CB0" w:rsidRDefault="00295EC9" w:rsidP="00740CB0">
      <w:pPr>
        <w:pStyle w:val="a3"/>
        <w:numPr>
          <w:ilvl w:val="0"/>
          <w:numId w:val="2"/>
        </w:numPr>
        <w:autoSpaceDE w:val="0"/>
        <w:autoSpaceDN w:val="0"/>
        <w:adjustRightInd w:val="0"/>
        <w:ind w:leftChars="0" w:left="567" w:hanging="567"/>
        <w:rPr>
          <w:rFonts w:eastAsia="標楷體" w:hAnsi="標楷體" w:cs="Arial"/>
          <w:color w:val="000000"/>
          <w:kern w:val="0"/>
          <w:sz w:val="22"/>
        </w:rPr>
      </w:pPr>
      <w:r w:rsidRPr="00767182">
        <w:rPr>
          <w:rFonts w:eastAsia="標楷體" w:hAnsi="標楷體" w:cs="Arial"/>
          <w:color w:val="000000"/>
          <w:kern w:val="0"/>
          <w:sz w:val="22"/>
        </w:rPr>
        <w:t>英國</w:t>
      </w:r>
      <w:r w:rsidRPr="00740CB0">
        <w:rPr>
          <w:rFonts w:eastAsia="標楷體" w:hAnsi="標楷體" w:cs="Arial"/>
          <w:color w:val="000000"/>
          <w:kern w:val="0"/>
          <w:sz w:val="22"/>
        </w:rPr>
        <w:t>: The UK Stewardship Code, Financial Reporting Council, 2012</w:t>
      </w:r>
    </w:p>
    <w:p w:rsidR="00295EC9" w:rsidRPr="00767182" w:rsidRDefault="00295EC9" w:rsidP="00EE140F">
      <w:pPr>
        <w:jc w:val="both"/>
        <w:rPr>
          <w:rFonts w:eastAsia="標楷體"/>
          <w:b/>
        </w:rPr>
      </w:pPr>
    </w:p>
    <w:p w:rsidR="009C7687" w:rsidRPr="00767182" w:rsidRDefault="009C7687">
      <w:pPr>
        <w:widowControl/>
        <w:rPr>
          <w:rFonts w:eastAsia="標楷體"/>
          <w:b/>
        </w:rPr>
      </w:pPr>
      <w:r w:rsidRPr="00767182">
        <w:rPr>
          <w:rFonts w:eastAsia="標楷體"/>
          <w:b/>
        </w:rPr>
        <w:br w:type="page"/>
      </w:r>
    </w:p>
    <w:p w:rsidR="009C7687" w:rsidRPr="0094738E" w:rsidRDefault="009C7687" w:rsidP="009C7687">
      <w:pPr>
        <w:jc w:val="both"/>
        <w:rPr>
          <w:rFonts w:eastAsia="標楷體" w:hAnsi="標楷體"/>
          <w:b/>
          <w:sz w:val="28"/>
          <w:szCs w:val="28"/>
        </w:rPr>
      </w:pPr>
      <w:r w:rsidRPr="0094738E">
        <w:rPr>
          <w:rFonts w:eastAsia="標楷體" w:hAnsi="標楷體"/>
          <w:b/>
          <w:sz w:val="28"/>
          <w:szCs w:val="28"/>
        </w:rPr>
        <w:lastRenderedPageBreak/>
        <w:t>附件二：我國與盡責管理相關之法規</w:t>
      </w:r>
    </w:p>
    <w:p w:rsidR="009C7687" w:rsidRPr="00767182" w:rsidRDefault="009C7687">
      <w:pPr>
        <w:widowControl/>
        <w:rPr>
          <w:rFonts w:eastAsia="標楷體"/>
          <w:b/>
        </w:rPr>
      </w:pPr>
    </w:p>
    <w:tbl>
      <w:tblPr>
        <w:tblW w:w="5000" w:type="pct"/>
        <w:tblCellMar>
          <w:left w:w="28" w:type="dxa"/>
          <w:right w:w="28" w:type="dxa"/>
        </w:tblCellMar>
        <w:tblLook w:val="04A0"/>
      </w:tblPr>
      <w:tblGrid>
        <w:gridCol w:w="1739"/>
        <w:gridCol w:w="1325"/>
        <w:gridCol w:w="4086"/>
        <w:gridCol w:w="1212"/>
      </w:tblGrid>
      <w:tr w:rsidR="009C7687" w:rsidRPr="00466BCB" w:rsidTr="0028033B">
        <w:trPr>
          <w:trHeight w:val="324"/>
          <w:tblHeader/>
        </w:trPr>
        <w:tc>
          <w:tcPr>
            <w:tcW w:w="1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jc w:val="center"/>
              <w:rPr>
                <w:rFonts w:eastAsia="標楷體" w:cs="新細明體"/>
                <w:b/>
                <w:bCs/>
                <w:kern w:val="0"/>
                <w:szCs w:val="24"/>
              </w:rPr>
            </w:pPr>
            <w:r w:rsidRPr="00466BCB">
              <w:rPr>
                <w:rFonts w:eastAsia="標楷體" w:hAnsi="標楷體" w:cs="新細明體"/>
                <w:b/>
                <w:bCs/>
                <w:kern w:val="0"/>
                <w:szCs w:val="24"/>
              </w:rPr>
              <w:t>法規名稱</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9C7687" w:rsidRPr="00466BCB" w:rsidRDefault="009C7687" w:rsidP="009C7687">
            <w:pPr>
              <w:widowControl/>
              <w:jc w:val="center"/>
              <w:rPr>
                <w:rFonts w:eastAsia="標楷體" w:cs="新細明體"/>
                <w:b/>
                <w:bCs/>
                <w:kern w:val="0"/>
                <w:szCs w:val="24"/>
              </w:rPr>
            </w:pPr>
            <w:proofErr w:type="gramStart"/>
            <w:r w:rsidRPr="00466BCB">
              <w:rPr>
                <w:rFonts w:eastAsia="標楷體" w:hAnsi="標楷體" w:cs="新細明體"/>
                <w:b/>
                <w:bCs/>
                <w:kern w:val="0"/>
                <w:szCs w:val="24"/>
              </w:rPr>
              <w:t>條號</w:t>
            </w:r>
            <w:proofErr w:type="gramEnd"/>
          </w:p>
        </w:tc>
        <w:tc>
          <w:tcPr>
            <w:tcW w:w="2443" w:type="pct"/>
            <w:tcBorders>
              <w:top w:val="single" w:sz="4" w:space="0" w:color="auto"/>
              <w:left w:val="nil"/>
              <w:bottom w:val="single" w:sz="4" w:space="0" w:color="auto"/>
              <w:right w:val="single" w:sz="4" w:space="0" w:color="auto"/>
            </w:tcBorders>
            <w:shd w:val="clear" w:color="auto" w:fill="auto"/>
            <w:vAlign w:val="center"/>
            <w:hideMark/>
          </w:tcPr>
          <w:p w:rsidR="009C7687" w:rsidRPr="00466BCB" w:rsidRDefault="009C7687" w:rsidP="009C7687">
            <w:pPr>
              <w:widowControl/>
              <w:jc w:val="center"/>
              <w:rPr>
                <w:rFonts w:eastAsia="標楷體" w:cs="新細明體"/>
                <w:b/>
                <w:bCs/>
                <w:kern w:val="0"/>
                <w:szCs w:val="24"/>
              </w:rPr>
            </w:pPr>
            <w:r w:rsidRPr="00466BCB">
              <w:rPr>
                <w:rFonts w:eastAsia="標楷體" w:hAnsi="標楷體" w:cs="新細明體"/>
                <w:b/>
                <w:bCs/>
                <w:kern w:val="0"/>
                <w:szCs w:val="24"/>
              </w:rPr>
              <w:t>內容</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9C7687" w:rsidRPr="00466BCB" w:rsidRDefault="009C7687" w:rsidP="009C7687">
            <w:pPr>
              <w:widowControl/>
              <w:jc w:val="center"/>
              <w:rPr>
                <w:rFonts w:eastAsia="標楷體" w:cs="新細明體"/>
                <w:b/>
                <w:bCs/>
                <w:kern w:val="0"/>
                <w:szCs w:val="24"/>
              </w:rPr>
            </w:pPr>
            <w:r w:rsidRPr="00466BCB">
              <w:rPr>
                <w:rFonts w:eastAsia="標楷體" w:hAnsi="標楷體" w:cs="新細明體"/>
                <w:b/>
                <w:bCs/>
                <w:kern w:val="0"/>
                <w:szCs w:val="24"/>
              </w:rPr>
              <w:t>盡責管理要素</w:t>
            </w:r>
          </w:p>
        </w:tc>
      </w:tr>
      <w:tr w:rsidR="009C7687" w:rsidRPr="00466BCB" w:rsidTr="009C7687">
        <w:trPr>
          <w:trHeight w:val="936"/>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證券投資信託及顧問法</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17</w:t>
            </w:r>
            <w:r w:rsidRPr="00466BCB">
              <w:rPr>
                <w:rFonts w:eastAsia="標楷體" w:hAnsi="標楷體" w:cs="新細明體"/>
                <w:kern w:val="0"/>
                <w:sz w:val="20"/>
                <w:szCs w:val="20"/>
              </w:rPr>
              <w:t>條</w:t>
            </w:r>
          </w:p>
        </w:tc>
        <w:tc>
          <w:tcPr>
            <w:tcW w:w="2443" w:type="pct"/>
            <w:tcBorders>
              <w:top w:val="nil"/>
              <w:left w:val="nil"/>
              <w:bottom w:val="single" w:sz="4" w:space="0" w:color="auto"/>
              <w:right w:val="single" w:sz="4" w:space="0" w:color="auto"/>
            </w:tcBorders>
            <w:shd w:val="clear" w:color="auto" w:fill="auto"/>
            <w:vAlign w:val="center"/>
            <w:hideMark/>
          </w:tcPr>
          <w:p w:rsidR="009C7687" w:rsidRPr="00484B5D" w:rsidRDefault="00484B5D" w:rsidP="00484B5D">
            <w:pPr>
              <w:pStyle w:val="HTML"/>
              <w:shd w:val="clear" w:color="auto" w:fill="FFFFFF"/>
              <w:spacing w:line="180" w:lineRule="atLeast"/>
              <w:rPr>
                <w:rFonts w:eastAsia="標楷體" w:hAnsi="標楷體" w:cs="新細明體"/>
                <w:sz w:val="20"/>
                <w:szCs w:val="20"/>
              </w:rPr>
            </w:pPr>
            <w:r w:rsidRPr="00484B5D">
              <w:rPr>
                <w:rFonts w:eastAsia="標楷體" w:hAnsi="標楷體" w:cs="新細明體" w:hint="eastAsia"/>
                <w:sz w:val="20"/>
                <w:szCs w:val="20"/>
              </w:rPr>
              <w:t>證券投資信託事業運用證券投資信託基金投資或交易，應依據其分析報告作成決定，交付執行時應作成紀錄，並按月提出檢討報告，其分析報告與決定應有合理基礎及根據。</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關注被投資公司、定期提出報告</w:t>
            </w:r>
          </w:p>
        </w:tc>
      </w:tr>
      <w:tr w:rsidR="009C7687" w:rsidRPr="00466BCB" w:rsidTr="009C7687">
        <w:trPr>
          <w:trHeight w:val="1872"/>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證券投資信託及顧問法</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19</w:t>
            </w:r>
            <w:r w:rsidRPr="00466BCB">
              <w:rPr>
                <w:rFonts w:eastAsia="標楷體" w:hAnsi="標楷體" w:cs="新細明體"/>
                <w:kern w:val="0"/>
                <w:sz w:val="20"/>
                <w:szCs w:val="20"/>
              </w:rPr>
              <w:t>條</w:t>
            </w:r>
            <w:r w:rsidR="00B7534D" w:rsidRPr="00466BCB">
              <w:rPr>
                <w:rFonts w:eastAsia="標楷體" w:hAnsi="標楷體" w:cs="新細明體" w:hint="eastAsia"/>
                <w:kern w:val="0"/>
                <w:sz w:val="20"/>
                <w:szCs w:val="20"/>
              </w:rPr>
              <w:t>第</w:t>
            </w:r>
            <w:r w:rsidR="00B7534D" w:rsidRPr="00466BCB">
              <w:rPr>
                <w:rFonts w:eastAsia="標楷體" w:hAnsi="標楷體" w:cs="新細明體" w:hint="eastAsia"/>
                <w:kern w:val="0"/>
                <w:sz w:val="20"/>
                <w:szCs w:val="20"/>
              </w:rPr>
              <w:t>1</w:t>
            </w:r>
            <w:r w:rsidR="00B7534D" w:rsidRPr="00466BCB">
              <w:rPr>
                <w:rFonts w:eastAsia="標楷體" w:hAnsi="標楷體" w:cs="新細明體" w:hint="eastAsia"/>
                <w:kern w:val="0"/>
                <w:sz w:val="20"/>
                <w:szCs w:val="20"/>
              </w:rPr>
              <w:t>項第</w:t>
            </w:r>
            <w:r w:rsidR="00B7534D" w:rsidRPr="00466BCB">
              <w:rPr>
                <w:rFonts w:eastAsia="標楷體" w:hAnsi="標楷體" w:cs="新細明體" w:hint="eastAsia"/>
                <w:kern w:val="0"/>
                <w:sz w:val="20"/>
                <w:szCs w:val="20"/>
              </w:rPr>
              <w:t>4</w:t>
            </w:r>
            <w:r w:rsidR="00B7534D" w:rsidRPr="00466BCB">
              <w:rPr>
                <w:rFonts w:eastAsia="標楷體" w:hAnsi="標楷體" w:cs="新細明體" w:hint="eastAsia"/>
                <w:kern w:val="0"/>
                <w:sz w:val="20"/>
                <w:szCs w:val="20"/>
              </w:rPr>
              <w:t>款</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證券投資信託事業應依本法、本法授權訂定之命令及證券投資信託契約之規定，運用證券投資信託基金，除主管機關另有規定外，不得為下列行為：</w:t>
            </w:r>
            <w:r w:rsidRPr="00466BCB">
              <w:rPr>
                <w:rFonts w:eastAsia="標楷體" w:cs="新細明體"/>
                <w:kern w:val="0"/>
                <w:sz w:val="20"/>
                <w:szCs w:val="20"/>
              </w:rPr>
              <w:br/>
            </w:r>
            <w:r w:rsidRPr="00466BCB">
              <w:rPr>
                <w:rFonts w:eastAsia="標楷體" w:hAnsi="標楷體" w:cs="新細明體"/>
                <w:kern w:val="0"/>
                <w:sz w:val="20"/>
                <w:szCs w:val="20"/>
              </w:rPr>
              <w:t>四、投資於本證券投資信託事業或與本證券投資信託事業有利害關係之公司所發行之證券。</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p>
        </w:tc>
      </w:tr>
      <w:tr w:rsidR="009C7687" w:rsidRPr="00466BCB" w:rsidTr="009C7687">
        <w:trPr>
          <w:trHeight w:val="624"/>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證券投資信託及顧問法</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59</w:t>
            </w:r>
            <w:r w:rsidRPr="00466BCB">
              <w:rPr>
                <w:rFonts w:eastAsia="標楷體" w:hAnsi="標楷體" w:cs="新細明體"/>
                <w:kern w:val="0"/>
                <w:sz w:val="20"/>
                <w:szCs w:val="20"/>
              </w:rPr>
              <w:t>條第</w:t>
            </w:r>
            <w:r w:rsidRPr="00466BCB">
              <w:rPr>
                <w:rFonts w:eastAsia="標楷體" w:cs="新細明體"/>
                <w:kern w:val="0"/>
                <w:sz w:val="20"/>
                <w:szCs w:val="20"/>
              </w:rPr>
              <w:t>9</w:t>
            </w:r>
            <w:r w:rsidRPr="00466BCB">
              <w:rPr>
                <w:rFonts w:eastAsia="標楷體" w:hAnsi="標楷體" w:cs="新細明體"/>
                <w:kern w:val="0"/>
                <w:sz w:val="20"/>
                <w:szCs w:val="20"/>
              </w:rPr>
              <w:t>款</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經營全權委託投資業務不得有下列行為：</w:t>
            </w:r>
            <w:r w:rsidRPr="00466BCB">
              <w:rPr>
                <w:rFonts w:eastAsia="標楷體" w:cs="新細明體"/>
                <w:kern w:val="0"/>
                <w:sz w:val="20"/>
                <w:szCs w:val="20"/>
              </w:rPr>
              <w:br/>
            </w:r>
            <w:r w:rsidRPr="00466BCB">
              <w:rPr>
                <w:rFonts w:eastAsia="標楷體" w:hAnsi="標楷體" w:cs="新細明體"/>
                <w:kern w:val="0"/>
                <w:sz w:val="20"/>
                <w:szCs w:val="20"/>
              </w:rPr>
              <w:t>九、其他影響事業經營或客戶權益者。</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p>
        </w:tc>
      </w:tr>
      <w:tr w:rsidR="009C7687" w:rsidRPr="00466BCB" w:rsidTr="009C7687">
        <w:trPr>
          <w:trHeight w:val="1560"/>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金融監督管理委員會函示</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民國</w:t>
            </w:r>
            <w:r w:rsidRPr="00466BCB">
              <w:rPr>
                <w:rFonts w:eastAsia="標楷體" w:cs="新細明體"/>
                <w:kern w:val="0"/>
                <w:sz w:val="20"/>
                <w:szCs w:val="20"/>
              </w:rPr>
              <w:t xml:space="preserve"> 103 </w:t>
            </w:r>
            <w:r w:rsidRPr="00466BCB">
              <w:rPr>
                <w:rFonts w:eastAsia="標楷體" w:hAnsi="標楷體" w:cs="新細明體"/>
                <w:kern w:val="0"/>
                <w:sz w:val="20"/>
                <w:szCs w:val="20"/>
              </w:rPr>
              <w:t>年</w:t>
            </w:r>
            <w:r w:rsidRPr="00466BCB">
              <w:rPr>
                <w:rFonts w:eastAsia="標楷體" w:cs="新細明體"/>
                <w:kern w:val="0"/>
                <w:sz w:val="20"/>
                <w:szCs w:val="20"/>
              </w:rPr>
              <w:t xml:space="preserve"> 01 </w:t>
            </w:r>
            <w:r w:rsidRPr="00466BCB">
              <w:rPr>
                <w:rFonts w:eastAsia="標楷體" w:hAnsi="標楷體" w:cs="新細明體"/>
                <w:kern w:val="0"/>
                <w:sz w:val="20"/>
                <w:szCs w:val="20"/>
              </w:rPr>
              <w:t>月</w:t>
            </w:r>
            <w:r w:rsidRPr="00466BCB">
              <w:rPr>
                <w:rFonts w:eastAsia="標楷體" w:cs="新細明體"/>
                <w:kern w:val="0"/>
                <w:sz w:val="20"/>
                <w:szCs w:val="20"/>
              </w:rPr>
              <w:t xml:space="preserve"> 08 </w:t>
            </w:r>
            <w:r w:rsidRPr="00466BCB">
              <w:rPr>
                <w:rFonts w:eastAsia="標楷體" w:hAnsi="標楷體" w:cs="新細明體"/>
                <w:kern w:val="0"/>
                <w:sz w:val="20"/>
                <w:szCs w:val="20"/>
              </w:rPr>
              <w:t>日金</w:t>
            </w:r>
            <w:proofErr w:type="gramStart"/>
            <w:r w:rsidRPr="00466BCB">
              <w:rPr>
                <w:rFonts w:eastAsia="標楷體" w:hAnsi="標楷體" w:cs="新細明體"/>
                <w:kern w:val="0"/>
                <w:sz w:val="20"/>
                <w:szCs w:val="20"/>
              </w:rPr>
              <w:t>管保財字第</w:t>
            </w:r>
            <w:r w:rsidRPr="00466BCB">
              <w:rPr>
                <w:rFonts w:eastAsia="標楷體" w:cs="新細明體"/>
                <w:kern w:val="0"/>
                <w:sz w:val="20"/>
                <w:szCs w:val="20"/>
              </w:rPr>
              <w:t>10302500070</w:t>
            </w:r>
            <w:r w:rsidRPr="00466BCB">
              <w:rPr>
                <w:rFonts w:eastAsia="標楷體" w:hAnsi="標楷體" w:cs="新細明體"/>
                <w:kern w:val="0"/>
                <w:sz w:val="20"/>
                <w:szCs w:val="20"/>
              </w:rPr>
              <w:t>號</w:t>
            </w:r>
            <w:proofErr w:type="gramEnd"/>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保險業依保險法第</w:t>
            </w:r>
            <w:r w:rsidRPr="00466BCB">
              <w:rPr>
                <w:rFonts w:eastAsia="標楷體" w:cs="新細明體"/>
                <w:kern w:val="0"/>
                <w:sz w:val="20"/>
                <w:szCs w:val="20"/>
              </w:rPr>
              <w:t>146</w:t>
            </w:r>
            <w:r w:rsidRPr="00466BCB">
              <w:rPr>
                <w:rFonts w:eastAsia="標楷體" w:hAnsi="標楷體" w:cs="新細明體"/>
                <w:kern w:val="0"/>
                <w:sz w:val="20"/>
                <w:szCs w:val="20"/>
              </w:rPr>
              <w:t>條之</w:t>
            </w:r>
            <w:r w:rsidRPr="00466BCB">
              <w:rPr>
                <w:rFonts w:eastAsia="標楷體" w:cs="新細明體"/>
                <w:kern w:val="0"/>
                <w:sz w:val="20"/>
                <w:szCs w:val="20"/>
              </w:rPr>
              <w:t>1</w:t>
            </w:r>
            <w:r w:rsidRPr="00466BCB">
              <w:rPr>
                <w:rFonts w:eastAsia="標楷體" w:hAnsi="標楷體" w:cs="新細明體"/>
                <w:kern w:val="0"/>
                <w:sz w:val="20"/>
                <w:szCs w:val="20"/>
              </w:rPr>
              <w:t>第</w:t>
            </w:r>
            <w:r w:rsidRPr="00466BCB">
              <w:rPr>
                <w:rFonts w:eastAsia="標楷體" w:cs="新細明體"/>
                <w:kern w:val="0"/>
                <w:sz w:val="20"/>
                <w:szCs w:val="20"/>
              </w:rPr>
              <w:t>1</w:t>
            </w:r>
            <w:r w:rsidRPr="00466BCB">
              <w:rPr>
                <w:rFonts w:eastAsia="標楷體" w:hAnsi="標楷體" w:cs="新細明體"/>
                <w:kern w:val="0"/>
                <w:sz w:val="20"/>
                <w:szCs w:val="20"/>
              </w:rPr>
              <w:t>項第</w:t>
            </w:r>
            <w:r w:rsidRPr="00466BCB">
              <w:rPr>
                <w:rFonts w:eastAsia="標楷體" w:cs="新細明體"/>
                <w:kern w:val="0"/>
                <w:sz w:val="20"/>
                <w:szCs w:val="20"/>
              </w:rPr>
              <w:t>3</w:t>
            </w:r>
            <w:r w:rsidRPr="00466BCB">
              <w:rPr>
                <w:rFonts w:eastAsia="標楷體" w:hAnsi="標楷體" w:cs="新細明體"/>
                <w:kern w:val="0"/>
                <w:sz w:val="20"/>
                <w:szCs w:val="20"/>
              </w:rPr>
              <w:t>款規定投資公司股票行使股東權利時，須以保戶最大利益為出發點，並應切實遵守保險法第</w:t>
            </w:r>
            <w:r w:rsidRPr="00466BCB">
              <w:rPr>
                <w:rFonts w:eastAsia="標楷體" w:cs="新細明體"/>
                <w:kern w:val="0"/>
                <w:sz w:val="20"/>
                <w:szCs w:val="20"/>
              </w:rPr>
              <w:t>146</w:t>
            </w:r>
            <w:r w:rsidRPr="00466BCB">
              <w:rPr>
                <w:rFonts w:eastAsia="標楷體" w:hAnsi="標楷體" w:cs="新細明體"/>
                <w:kern w:val="0"/>
                <w:sz w:val="20"/>
                <w:szCs w:val="20"/>
              </w:rPr>
              <w:t>條之</w:t>
            </w:r>
            <w:r w:rsidRPr="00466BCB">
              <w:rPr>
                <w:rFonts w:eastAsia="標楷體" w:cs="新細明體"/>
                <w:kern w:val="0"/>
                <w:sz w:val="20"/>
                <w:szCs w:val="20"/>
              </w:rPr>
              <w:t>1</w:t>
            </w:r>
            <w:r w:rsidRPr="00466BCB">
              <w:rPr>
                <w:rFonts w:eastAsia="標楷體" w:hAnsi="標楷體" w:cs="新細明體"/>
                <w:kern w:val="0"/>
                <w:sz w:val="20"/>
                <w:szCs w:val="20"/>
              </w:rPr>
              <w:t>第</w:t>
            </w:r>
            <w:r w:rsidRPr="00466BCB">
              <w:rPr>
                <w:rFonts w:eastAsia="標楷體" w:cs="新細明體"/>
                <w:kern w:val="0"/>
                <w:sz w:val="20"/>
                <w:szCs w:val="20"/>
              </w:rPr>
              <w:t>3</w:t>
            </w:r>
            <w:r w:rsidRPr="00466BCB">
              <w:rPr>
                <w:rFonts w:eastAsia="標楷體" w:hAnsi="標楷體" w:cs="新細明體"/>
                <w:kern w:val="0"/>
                <w:sz w:val="20"/>
                <w:szCs w:val="20"/>
              </w:rPr>
              <w:t>項及第</w:t>
            </w:r>
            <w:r w:rsidRPr="00466BCB">
              <w:rPr>
                <w:rFonts w:eastAsia="標楷體" w:cs="新細明體"/>
                <w:kern w:val="0"/>
                <w:sz w:val="20"/>
                <w:szCs w:val="20"/>
              </w:rPr>
              <w:t>146</w:t>
            </w:r>
            <w:r w:rsidRPr="00466BCB">
              <w:rPr>
                <w:rFonts w:eastAsia="標楷體" w:hAnsi="標楷體" w:cs="新細明體"/>
                <w:kern w:val="0"/>
                <w:sz w:val="20"/>
                <w:szCs w:val="20"/>
              </w:rPr>
              <w:t>條之</w:t>
            </w:r>
            <w:r w:rsidRPr="00466BCB">
              <w:rPr>
                <w:rFonts w:eastAsia="標楷體" w:cs="新細明體"/>
                <w:kern w:val="0"/>
                <w:sz w:val="20"/>
                <w:szCs w:val="20"/>
              </w:rPr>
              <w:t>9</w:t>
            </w:r>
            <w:r w:rsidRPr="00466BCB">
              <w:rPr>
                <w:rFonts w:eastAsia="標楷體" w:hAnsi="標楷體" w:cs="新細明體"/>
                <w:kern w:val="0"/>
                <w:sz w:val="20"/>
                <w:szCs w:val="20"/>
              </w:rPr>
              <w:t>規定，完成評估程序及內部報告程序，不得有股權交換或利益輸送等情事，以維護公司暨保戶權益，請</w:t>
            </w:r>
            <w:r w:rsidRPr="00466BCB">
              <w:rPr>
                <w:rFonts w:eastAsia="標楷體" w:cs="新細明體"/>
                <w:kern w:val="0"/>
                <w:sz w:val="20"/>
                <w:szCs w:val="20"/>
              </w:rPr>
              <w:t xml:space="preserve">  </w:t>
            </w:r>
            <w:r w:rsidRPr="00466BCB">
              <w:rPr>
                <w:rFonts w:eastAsia="標楷體" w:hAnsi="標楷體" w:cs="新細明體"/>
                <w:kern w:val="0"/>
                <w:sz w:val="20"/>
                <w:szCs w:val="20"/>
              </w:rPr>
              <w:t>查照並轉知所屬會員公司</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p>
        </w:tc>
      </w:tr>
      <w:tr w:rsidR="009C7687" w:rsidRPr="00466BCB" w:rsidTr="009C7687">
        <w:trPr>
          <w:trHeight w:val="1248"/>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中華民國證券投資信託暨顧問商業同業公會證券投資信託事業經理守則</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5</w:t>
            </w:r>
            <w:r w:rsidRPr="00466BCB">
              <w:rPr>
                <w:rFonts w:eastAsia="標楷體" w:hAnsi="標楷體" w:cs="新細明體"/>
                <w:kern w:val="0"/>
                <w:sz w:val="20"/>
                <w:szCs w:val="20"/>
              </w:rPr>
              <w:t>點</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為落實公司內部健全管理，妥善維護投資大眾資產，共同創造投信事業之發展與投資客戶之利益，公司負責人及其員工經營投信基金及全委業務應符合忠實義務原則、誠信原則、勤勉原則、管理謹慎原則及專業原則。</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建立盡責管理的政策</w:t>
            </w:r>
          </w:p>
        </w:tc>
      </w:tr>
      <w:tr w:rsidR="009C7687" w:rsidRPr="00466BCB" w:rsidTr="009C7687">
        <w:trPr>
          <w:trHeight w:val="1560"/>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證券投資信託事業管理規則</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23</w:t>
            </w:r>
            <w:r w:rsidRPr="00466BCB">
              <w:rPr>
                <w:rFonts w:eastAsia="標楷體" w:hAnsi="標楷體" w:cs="新細明體"/>
                <w:kern w:val="0"/>
                <w:sz w:val="20"/>
                <w:szCs w:val="20"/>
              </w:rPr>
              <w:t>條第</w:t>
            </w:r>
            <w:r w:rsidR="00E21BF3" w:rsidRPr="00466BCB">
              <w:rPr>
                <w:rFonts w:eastAsia="標楷體" w:hAnsi="標楷體" w:cs="新細明體" w:hint="eastAsia"/>
                <w:kern w:val="0"/>
                <w:sz w:val="20"/>
                <w:szCs w:val="20"/>
              </w:rPr>
              <w:t>1</w:t>
            </w:r>
            <w:r w:rsidR="00E21BF3" w:rsidRPr="00466BCB">
              <w:rPr>
                <w:rFonts w:eastAsia="標楷體" w:hAnsi="標楷體" w:cs="新細明體" w:hint="eastAsia"/>
                <w:kern w:val="0"/>
                <w:sz w:val="20"/>
                <w:szCs w:val="20"/>
              </w:rPr>
              <w:t>、</w:t>
            </w:r>
            <w:r w:rsidRPr="00466BCB">
              <w:rPr>
                <w:rFonts w:eastAsia="標楷體" w:cs="新細明體"/>
                <w:kern w:val="0"/>
                <w:sz w:val="20"/>
                <w:szCs w:val="20"/>
              </w:rPr>
              <w:t>2</w:t>
            </w:r>
            <w:r w:rsidRPr="00466BCB">
              <w:rPr>
                <w:rFonts w:eastAsia="標楷體" w:hAnsi="標楷體" w:cs="新細明體"/>
                <w:kern w:val="0"/>
                <w:sz w:val="20"/>
                <w:szCs w:val="20"/>
              </w:rPr>
              <w:t>項</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8C37E3" w:rsidP="009C7687">
            <w:pPr>
              <w:widowControl/>
              <w:rPr>
                <w:rFonts w:eastAsia="標楷體" w:cs="新細明體"/>
                <w:kern w:val="0"/>
                <w:sz w:val="20"/>
                <w:szCs w:val="20"/>
              </w:rPr>
            </w:pPr>
            <w:r w:rsidRPr="00466BCB">
              <w:rPr>
                <w:rFonts w:eastAsia="標楷體" w:hAnsi="標楷體" w:cs="新細明體" w:hint="eastAsia"/>
                <w:kern w:val="0"/>
                <w:sz w:val="20"/>
                <w:szCs w:val="20"/>
              </w:rPr>
              <w:t>證券投資信託</w:t>
            </w:r>
            <w:r w:rsidR="009C7687" w:rsidRPr="00466BCB">
              <w:rPr>
                <w:rFonts w:eastAsia="標楷體" w:hAnsi="標楷體" w:cs="新細明體"/>
                <w:kern w:val="0"/>
                <w:sz w:val="20"/>
                <w:szCs w:val="20"/>
              </w:rPr>
              <w:t>事業行使投信基金持有股票之投票表決權，除法令另有規定外，應由證券投資信託事業指派該事業人員代表為之。</w:t>
            </w:r>
            <w:r w:rsidR="009C7687" w:rsidRPr="00466BCB">
              <w:rPr>
                <w:rFonts w:eastAsia="標楷體" w:cs="新細明體"/>
                <w:kern w:val="0"/>
                <w:sz w:val="20"/>
                <w:szCs w:val="20"/>
              </w:rPr>
              <w:br/>
            </w:r>
            <w:r w:rsidRPr="00466BCB">
              <w:rPr>
                <w:rFonts w:eastAsia="標楷體" w:hAnsi="標楷體" w:cs="新細明體" w:hint="eastAsia"/>
                <w:kern w:val="0"/>
                <w:sz w:val="20"/>
                <w:szCs w:val="20"/>
              </w:rPr>
              <w:t>證券投資信託</w:t>
            </w:r>
            <w:r w:rsidR="009C7687" w:rsidRPr="00466BCB">
              <w:rPr>
                <w:rFonts w:eastAsia="標楷體" w:hAnsi="標楷體" w:cs="新細明體"/>
                <w:kern w:val="0"/>
                <w:sz w:val="20"/>
                <w:szCs w:val="20"/>
              </w:rPr>
              <w:t>事業行使前項表決權，應基於受益憑證持有人之最大利益，且不得直接或間接參與該股票發行公司經營或有不當之安排情事。</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參與公司事務、建立明確的投票政策</w:t>
            </w:r>
          </w:p>
        </w:tc>
      </w:tr>
      <w:tr w:rsidR="009C7687" w:rsidRPr="00466BCB" w:rsidTr="009C7687">
        <w:trPr>
          <w:trHeight w:val="5616"/>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lastRenderedPageBreak/>
              <w:t>保險法</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146-1</w:t>
            </w:r>
            <w:r w:rsidRPr="00466BCB">
              <w:rPr>
                <w:rFonts w:eastAsia="標楷體" w:hAnsi="標楷體" w:cs="新細明體"/>
                <w:kern w:val="0"/>
                <w:sz w:val="20"/>
                <w:szCs w:val="20"/>
              </w:rPr>
              <w:t>條第</w:t>
            </w:r>
            <w:r w:rsidRPr="00466BCB">
              <w:rPr>
                <w:rFonts w:eastAsia="標楷體" w:cs="新細明體"/>
                <w:kern w:val="0"/>
                <w:sz w:val="20"/>
                <w:szCs w:val="20"/>
              </w:rPr>
              <w:t>3</w:t>
            </w:r>
            <w:r w:rsidRPr="00466BCB">
              <w:rPr>
                <w:rFonts w:eastAsia="標楷體" w:hAnsi="標楷體" w:cs="新細明體"/>
                <w:kern w:val="0"/>
                <w:sz w:val="20"/>
                <w:szCs w:val="20"/>
              </w:rPr>
              <w:t>、</w:t>
            </w:r>
            <w:r w:rsidRPr="00466BCB">
              <w:rPr>
                <w:rFonts w:eastAsia="標楷體" w:cs="新細明體"/>
                <w:kern w:val="0"/>
                <w:sz w:val="20"/>
                <w:szCs w:val="20"/>
              </w:rPr>
              <w:t>4</w:t>
            </w:r>
            <w:r w:rsidRPr="00466BCB">
              <w:rPr>
                <w:rFonts w:eastAsia="標楷體" w:hAnsi="標楷體" w:cs="新細明體"/>
                <w:kern w:val="0"/>
                <w:sz w:val="20"/>
                <w:szCs w:val="20"/>
              </w:rPr>
              <w:t>項</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保險業依第一項第三款及第六款投資，不得有下列情事之</w:t>
            </w:r>
            <w:proofErr w:type="gramStart"/>
            <w:r w:rsidRPr="00466BCB">
              <w:rPr>
                <w:rFonts w:eastAsia="標楷體" w:hAnsi="標楷體" w:cs="新細明體"/>
                <w:kern w:val="0"/>
                <w:sz w:val="20"/>
                <w:szCs w:val="20"/>
              </w:rPr>
              <w:t>一</w:t>
            </w:r>
            <w:proofErr w:type="gramEnd"/>
            <w:r w:rsidRPr="00466BCB">
              <w:rPr>
                <w:rFonts w:eastAsia="標楷體" w:hAnsi="標楷體" w:cs="新細明體"/>
                <w:kern w:val="0"/>
                <w:sz w:val="20"/>
                <w:szCs w:val="20"/>
              </w:rPr>
              <w:t>：</w:t>
            </w:r>
            <w:r w:rsidRPr="00466BCB">
              <w:rPr>
                <w:rFonts w:eastAsia="標楷體" w:cs="新細明體"/>
                <w:kern w:val="0"/>
                <w:sz w:val="20"/>
                <w:szCs w:val="20"/>
              </w:rPr>
              <w:br/>
            </w:r>
            <w:r w:rsidRPr="00466BCB">
              <w:rPr>
                <w:rFonts w:eastAsia="標楷體" w:hAnsi="標楷體" w:cs="新細明體"/>
                <w:kern w:val="0"/>
                <w:sz w:val="20"/>
                <w:szCs w:val="20"/>
              </w:rPr>
              <w:t>一、以保險業或其代表人擔任被投資公司董事、監察人。</w:t>
            </w:r>
            <w:r w:rsidRPr="00466BCB">
              <w:rPr>
                <w:rFonts w:eastAsia="標楷體" w:cs="新細明體"/>
                <w:kern w:val="0"/>
                <w:sz w:val="20"/>
                <w:szCs w:val="20"/>
              </w:rPr>
              <w:br/>
            </w:r>
            <w:r w:rsidRPr="00466BCB">
              <w:rPr>
                <w:rFonts w:eastAsia="標楷體" w:hAnsi="標楷體" w:cs="新細明體"/>
                <w:kern w:val="0"/>
                <w:sz w:val="20"/>
                <w:szCs w:val="20"/>
              </w:rPr>
              <w:t>二、行使對被投資公司董事、監察人選舉之表決權。</w:t>
            </w:r>
            <w:r w:rsidRPr="00466BCB">
              <w:rPr>
                <w:rFonts w:eastAsia="標楷體" w:cs="新細明體"/>
                <w:kern w:val="0"/>
                <w:sz w:val="20"/>
                <w:szCs w:val="20"/>
              </w:rPr>
              <w:br/>
            </w:r>
            <w:r w:rsidRPr="00466BCB">
              <w:rPr>
                <w:rFonts w:eastAsia="標楷體" w:hAnsi="標楷體" w:cs="新細明體"/>
                <w:kern w:val="0"/>
                <w:sz w:val="20"/>
                <w:szCs w:val="20"/>
              </w:rPr>
              <w:t>三、指派人員獲聘為被投資公司經理人。</w:t>
            </w:r>
            <w:r w:rsidRPr="00466BCB">
              <w:rPr>
                <w:rFonts w:eastAsia="標楷體" w:cs="新細明體"/>
                <w:kern w:val="0"/>
                <w:sz w:val="20"/>
                <w:szCs w:val="20"/>
              </w:rPr>
              <w:br/>
            </w:r>
            <w:r w:rsidRPr="00466BCB">
              <w:rPr>
                <w:rFonts w:eastAsia="標楷體" w:hAnsi="標楷體" w:cs="新細明體"/>
                <w:kern w:val="0"/>
                <w:sz w:val="20"/>
                <w:szCs w:val="20"/>
              </w:rPr>
              <w:t>四、擔任被投資證券化商品之信託監察人。</w:t>
            </w:r>
            <w:r w:rsidRPr="00466BCB">
              <w:rPr>
                <w:rFonts w:eastAsia="標楷體" w:cs="新細明體"/>
                <w:kern w:val="0"/>
                <w:sz w:val="20"/>
                <w:szCs w:val="20"/>
              </w:rPr>
              <w:br/>
            </w:r>
            <w:r w:rsidRPr="00466BCB">
              <w:rPr>
                <w:rFonts w:eastAsia="標楷體" w:hAnsi="標楷體" w:cs="新細明體"/>
                <w:kern w:val="0"/>
                <w:sz w:val="20"/>
                <w:szCs w:val="20"/>
              </w:rPr>
              <w:t>五、與第三人以信託、委任或其他契約約定或以協議、授權或其他方法參與對被投資公司之經營、被投資不動產投資信託基金之經營、管理。但不包括該基金之清算。</w:t>
            </w:r>
            <w:r w:rsidRPr="00466BCB">
              <w:rPr>
                <w:rFonts w:eastAsia="標楷體" w:cs="新細明體"/>
                <w:kern w:val="0"/>
                <w:sz w:val="20"/>
                <w:szCs w:val="20"/>
              </w:rPr>
              <w:br/>
            </w:r>
            <w:r w:rsidRPr="00466BCB">
              <w:rPr>
                <w:rFonts w:eastAsia="標楷體" w:cs="新細明體"/>
                <w:kern w:val="0"/>
                <w:sz w:val="20"/>
                <w:szCs w:val="20"/>
              </w:rPr>
              <w:br/>
            </w:r>
            <w:r w:rsidRPr="00466BCB">
              <w:rPr>
                <w:rFonts w:eastAsia="標楷體" w:hAnsi="標楷體" w:cs="新細明體"/>
                <w:kern w:val="0"/>
                <w:sz w:val="20"/>
                <w:szCs w:val="20"/>
              </w:rPr>
              <w:t>保險業有前項各款情事之</w:t>
            </w:r>
            <w:proofErr w:type="gramStart"/>
            <w:r w:rsidRPr="00466BCB">
              <w:rPr>
                <w:rFonts w:eastAsia="標楷體" w:hAnsi="標楷體" w:cs="新細明體"/>
                <w:kern w:val="0"/>
                <w:sz w:val="20"/>
                <w:szCs w:val="20"/>
              </w:rPr>
              <w:t>一</w:t>
            </w:r>
            <w:proofErr w:type="gramEnd"/>
            <w:r w:rsidRPr="00466BCB">
              <w:rPr>
                <w:rFonts w:eastAsia="標楷體" w:hAnsi="標楷體" w:cs="新細明體"/>
                <w:kern w:val="0"/>
                <w:sz w:val="20"/>
                <w:szCs w:val="20"/>
              </w:rPr>
              <w:t>者，其或代表人擔任董事、監察人、行使表決權、指派人員獲聘為經理人、與第三人之約定、協議或授權，無效。</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03C8D">
            <w:pPr>
              <w:widowControl/>
              <w:rPr>
                <w:rFonts w:eastAsia="標楷體" w:cs="新細明體"/>
                <w:kern w:val="0"/>
                <w:sz w:val="20"/>
                <w:szCs w:val="20"/>
              </w:rPr>
            </w:pPr>
            <w:r w:rsidRPr="00466BCB">
              <w:rPr>
                <w:rFonts w:eastAsia="標楷體" w:hAnsi="標楷體" w:cs="新細明體"/>
                <w:kern w:val="0"/>
                <w:sz w:val="20"/>
                <w:szCs w:val="20"/>
              </w:rPr>
              <w:t>利益衝突管理</w:t>
            </w:r>
          </w:p>
        </w:tc>
      </w:tr>
      <w:tr w:rsidR="009C7687" w:rsidRPr="00466BCB" w:rsidTr="009C7687">
        <w:trPr>
          <w:trHeight w:val="936"/>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保險法</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146-9</w:t>
            </w:r>
            <w:r w:rsidRPr="00466BCB">
              <w:rPr>
                <w:rFonts w:eastAsia="標楷體" w:hAnsi="標楷體" w:cs="新細明體"/>
                <w:kern w:val="0"/>
                <w:sz w:val="20"/>
                <w:szCs w:val="20"/>
              </w:rPr>
              <w:t>條</w:t>
            </w:r>
            <w:r w:rsidR="006C3265" w:rsidRPr="00466BCB">
              <w:rPr>
                <w:rFonts w:eastAsia="標楷體" w:hAnsi="標楷體" w:cs="新細明體" w:hint="eastAsia"/>
                <w:kern w:val="0"/>
                <w:sz w:val="20"/>
                <w:szCs w:val="20"/>
              </w:rPr>
              <w:t>第</w:t>
            </w:r>
            <w:r w:rsidR="006C3265" w:rsidRPr="00466BCB">
              <w:rPr>
                <w:rFonts w:eastAsia="標楷體" w:hAnsi="標楷體" w:cs="新細明體" w:hint="eastAsia"/>
                <w:kern w:val="0"/>
                <w:sz w:val="20"/>
                <w:szCs w:val="20"/>
              </w:rPr>
              <w:t>1</w:t>
            </w:r>
            <w:r w:rsidR="006C3265" w:rsidRPr="00466BCB">
              <w:rPr>
                <w:rFonts w:eastAsia="標楷體" w:hAnsi="標楷體" w:cs="新細明體" w:hint="eastAsia"/>
                <w:kern w:val="0"/>
                <w:sz w:val="20"/>
                <w:szCs w:val="20"/>
              </w:rPr>
              <w:t>、</w:t>
            </w:r>
            <w:r w:rsidR="006C3265" w:rsidRPr="00466BCB">
              <w:rPr>
                <w:rFonts w:eastAsia="標楷體" w:hAnsi="標楷體" w:cs="新細明體" w:hint="eastAsia"/>
                <w:kern w:val="0"/>
                <w:sz w:val="20"/>
                <w:szCs w:val="20"/>
              </w:rPr>
              <w:t>2</w:t>
            </w:r>
            <w:r w:rsidR="006C3265" w:rsidRPr="00466BCB">
              <w:rPr>
                <w:rFonts w:eastAsia="標楷體" w:hAnsi="標楷體" w:cs="新細明體" w:hint="eastAsia"/>
                <w:kern w:val="0"/>
                <w:sz w:val="20"/>
                <w:szCs w:val="20"/>
              </w:rPr>
              <w:t>項</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hAnsi="標楷體" w:cs="新細明體"/>
                <w:kern w:val="0"/>
                <w:sz w:val="20"/>
                <w:szCs w:val="20"/>
              </w:rPr>
            </w:pPr>
            <w:r w:rsidRPr="00466BCB">
              <w:rPr>
                <w:rFonts w:eastAsia="標楷體" w:hAnsi="標楷體" w:cs="新細明體"/>
                <w:kern w:val="0"/>
                <w:sz w:val="20"/>
                <w:szCs w:val="20"/>
              </w:rPr>
              <w:t>保險業因持有有價證券行使股東權利時，不得與被投資公司或第三人以信託、委任或其他契約約定或以協議、授權或其他方法進行股權交換或利益輸送，並不得損及要保人、被保險人或受益人之利益。</w:t>
            </w:r>
          </w:p>
          <w:p w:rsidR="00405EB8" w:rsidRPr="000D2878" w:rsidRDefault="00405EB8" w:rsidP="000D2878">
            <w:pPr>
              <w:pStyle w:val="HTML"/>
              <w:shd w:val="clear" w:color="auto" w:fill="FFFFFF"/>
              <w:spacing w:line="252" w:lineRule="atLeast"/>
              <w:rPr>
                <w:rFonts w:ascii="Calibri" w:eastAsia="標楷體" w:hAnsi="標楷體" w:cs="新細明體"/>
                <w:sz w:val="20"/>
                <w:szCs w:val="20"/>
              </w:rPr>
            </w:pPr>
            <w:r w:rsidRPr="00405EB8">
              <w:rPr>
                <w:rFonts w:ascii="Calibri" w:eastAsia="標楷體" w:hAnsi="標楷體" w:cs="新細明體" w:hint="eastAsia"/>
                <w:sz w:val="20"/>
                <w:szCs w:val="20"/>
              </w:rPr>
              <w:t>保險業於出席被投資公司股東會前，應將行使表決權之評估分析作業作成說明，並應於各該次股東會後，將行使表決權之書面紀錄，提報董事會。</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r w:rsidR="00FA6312" w:rsidRPr="00466BCB">
              <w:rPr>
                <w:rFonts w:eastAsia="標楷體" w:hAnsi="標楷體" w:cs="新細明體" w:hint="eastAsia"/>
                <w:kern w:val="0"/>
                <w:sz w:val="20"/>
                <w:szCs w:val="20"/>
              </w:rPr>
              <w:t>、</w:t>
            </w:r>
            <w:r w:rsidR="00903C8D" w:rsidRPr="00466BCB">
              <w:rPr>
                <w:rFonts w:eastAsia="標楷體" w:hAnsi="標楷體" w:cs="新細明體"/>
                <w:kern w:val="0"/>
                <w:sz w:val="20"/>
                <w:szCs w:val="20"/>
              </w:rPr>
              <w:t>建立明確的投票政策</w:t>
            </w:r>
          </w:p>
        </w:tc>
      </w:tr>
      <w:tr w:rsidR="009C7687" w:rsidRPr="00466BCB" w:rsidTr="009C7687">
        <w:trPr>
          <w:trHeight w:val="1248"/>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勞工退休基金監理會社會責任投資策略</w:t>
            </w:r>
            <w:r w:rsidRPr="00466BCB">
              <w:rPr>
                <w:rFonts w:eastAsia="標楷體" w:cs="新細明體"/>
                <w:kern w:val="0"/>
                <w:sz w:val="20"/>
                <w:szCs w:val="20"/>
              </w:rPr>
              <w:t xml:space="preserve"> (</w:t>
            </w:r>
            <w:r w:rsidRPr="00466BCB">
              <w:rPr>
                <w:rFonts w:eastAsia="標楷體" w:hAnsi="標楷體" w:cs="新細明體"/>
                <w:kern w:val="0"/>
                <w:sz w:val="20"/>
                <w:szCs w:val="20"/>
              </w:rPr>
              <w:t>於</w:t>
            </w:r>
            <w:r w:rsidRPr="00466BCB">
              <w:rPr>
                <w:rFonts w:eastAsia="標楷體" w:cs="新細明體"/>
                <w:kern w:val="0"/>
                <w:sz w:val="20"/>
                <w:szCs w:val="20"/>
              </w:rPr>
              <w:t xml:space="preserve">97 </w:t>
            </w:r>
            <w:r w:rsidRPr="00466BCB">
              <w:rPr>
                <w:rFonts w:eastAsia="標楷體" w:hAnsi="標楷體" w:cs="新細明體"/>
                <w:kern w:val="0"/>
                <w:sz w:val="20"/>
                <w:szCs w:val="20"/>
              </w:rPr>
              <w:t>年</w:t>
            </w:r>
            <w:r w:rsidRPr="00466BCB">
              <w:rPr>
                <w:rFonts w:eastAsia="標楷體" w:cs="新細明體"/>
                <w:kern w:val="0"/>
                <w:sz w:val="20"/>
                <w:szCs w:val="20"/>
              </w:rPr>
              <w:t xml:space="preserve">7 </w:t>
            </w:r>
            <w:proofErr w:type="gramStart"/>
            <w:r w:rsidRPr="00466BCB">
              <w:rPr>
                <w:rFonts w:eastAsia="標楷體" w:hAnsi="標楷體" w:cs="新細明體"/>
                <w:kern w:val="0"/>
                <w:sz w:val="20"/>
                <w:szCs w:val="20"/>
              </w:rPr>
              <w:t>月訂定</w:t>
            </w:r>
            <w:proofErr w:type="gramEnd"/>
            <w:r w:rsidRPr="00466BCB">
              <w:rPr>
                <w:rFonts w:eastAsia="標楷體" w:cs="新細明體"/>
                <w:kern w:val="0"/>
                <w:sz w:val="20"/>
                <w:szCs w:val="20"/>
              </w:rPr>
              <w:t>)</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近期</w:t>
            </w:r>
            <w:proofErr w:type="gramStart"/>
            <w:r w:rsidRPr="00466BCB">
              <w:rPr>
                <w:rFonts w:eastAsia="標楷體" w:hAnsi="標楷體" w:cs="新細明體"/>
                <w:kern w:val="0"/>
                <w:sz w:val="20"/>
                <w:szCs w:val="20"/>
              </w:rPr>
              <w:t>採</w:t>
            </w:r>
            <w:proofErr w:type="gramEnd"/>
            <w:r w:rsidRPr="00466BCB">
              <w:rPr>
                <w:rFonts w:eastAsia="標楷體" w:hAnsi="標楷體" w:cs="新細明體"/>
                <w:kern w:val="0"/>
                <w:sz w:val="20"/>
                <w:szCs w:val="20"/>
              </w:rPr>
              <w:t>行措施（四）</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對基金持股占其已發行股份達</w:t>
            </w:r>
            <w:r w:rsidRPr="00466BCB">
              <w:rPr>
                <w:rFonts w:eastAsia="標楷體" w:cs="新細明體"/>
                <w:kern w:val="0"/>
                <w:sz w:val="20"/>
                <w:szCs w:val="20"/>
              </w:rPr>
              <w:t>3%</w:t>
            </w:r>
            <w:r w:rsidRPr="00466BCB">
              <w:rPr>
                <w:rFonts w:eastAsia="標楷體" w:hAnsi="標楷體" w:cs="新細明體"/>
                <w:kern w:val="0"/>
                <w:sz w:val="20"/>
                <w:szCs w:val="20"/>
              </w:rPr>
              <w:t>以上，或基金對其投資達股票總投資淨值</w:t>
            </w:r>
            <w:r w:rsidRPr="00466BCB">
              <w:rPr>
                <w:rFonts w:eastAsia="標楷體" w:cs="新細明體"/>
                <w:kern w:val="0"/>
                <w:sz w:val="20"/>
                <w:szCs w:val="20"/>
              </w:rPr>
              <w:t>1%</w:t>
            </w:r>
            <w:r w:rsidRPr="00466BCB">
              <w:rPr>
                <w:rFonts w:eastAsia="標楷體" w:hAnsi="標楷體" w:cs="新細明體"/>
                <w:kern w:val="0"/>
                <w:sz w:val="20"/>
                <w:szCs w:val="20"/>
              </w:rPr>
              <w:t>以上之國內公司，持續予以關注是否發生重大涉及勞工權益、環境保護與公司治理之社會矚目案件，並派員出席其股東會，適時表達本基金立場。</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建立盡責管理的政策、關注被投資公司、參與公司事務</w:t>
            </w:r>
          </w:p>
        </w:tc>
      </w:tr>
      <w:tr w:rsidR="009C7687" w:rsidRPr="00466BCB" w:rsidTr="009C7687">
        <w:trPr>
          <w:trHeight w:val="4680"/>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lastRenderedPageBreak/>
              <w:t>勞動基金委託經營要點</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11</w:t>
            </w:r>
            <w:r w:rsidR="00E029D5" w:rsidRPr="00466BCB">
              <w:rPr>
                <w:rFonts w:eastAsia="標楷體" w:hAnsi="標楷體" w:cs="新細明體" w:hint="eastAsia"/>
                <w:kern w:val="0"/>
                <w:sz w:val="20"/>
                <w:szCs w:val="20"/>
              </w:rPr>
              <w:t>點</w:t>
            </w:r>
            <w:r w:rsidRPr="00466BCB">
              <w:rPr>
                <w:rFonts w:eastAsia="標楷體" w:hAnsi="標楷體" w:cs="新細明體"/>
                <w:kern w:val="0"/>
                <w:sz w:val="20"/>
                <w:szCs w:val="20"/>
              </w:rPr>
              <w:t>第</w:t>
            </w:r>
            <w:r w:rsidRPr="00466BCB">
              <w:rPr>
                <w:rFonts w:eastAsia="標楷體" w:cs="新細明體"/>
                <w:kern w:val="0"/>
                <w:sz w:val="20"/>
                <w:szCs w:val="20"/>
              </w:rPr>
              <w:t>2</w:t>
            </w:r>
            <w:r w:rsidRPr="00466BCB">
              <w:rPr>
                <w:rFonts w:eastAsia="標楷體" w:hAnsi="標楷體" w:cs="新細明體"/>
                <w:kern w:val="0"/>
                <w:sz w:val="20"/>
                <w:szCs w:val="20"/>
              </w:rPr>
              <w:t>項第</w:t>
            </w:r>
            <w:r w:rsidRPr="00466BCB">
              <w:rPr>
                <w:rFonts w:eastAsia="標楷體" w:cs="新細明體"/>
                <w:kern w:val="0"/>
                <w:sz w:val="20"/>
                <w:szCs w:val="20"/>
              </w:rPr>
              <w:t>2</w:t>
            </w:r>
            <w:r w:rsidRPr="00466BCB">
              <w:rPr>
                <w:rFonts w:eastAsia="標楷體" w:hAnsi="標楷體" w:cs="新細明體"/>
                <w:kern w:val="0"/>
                <w:sz w:val="20"/>
                <w:szCs w:val="20"/>
              </w:rPr>
              <w:t>款</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7D54FD">
            <w:pPr>
              <w:widowControl/>
              <w:rPr>
                <w:rFonts w:eastAsia="標楷體" w:cs="新細明體"/>
                <w:kern w:val="0"/>
                <w:sz w:val="20"/>
                <w:szCs w:val="20"/>
              </w:rPr>
            </w:pPr>
            <w:r w:rsidRPr="00466BCB">
              <w:rPr>
                <w:rFonts w:eastAsia="標楷體" w:hAnsi="標楷體" w:cs="新細明體"/>
                <w:kern w:val="0"/>
                <w:sz w:val="20"/>
                <w:szCs w:val="20"/>
              </w:rPr>
              <w:t>基金運用局與新制勞退基金及勞保基金之保管機構所定委託保管契約，其文字應以中文為之。但依約需要以外文為之者，應附中文譯本，並以中文版本為主。契約之解釋，以雙方約定之法律為</w:t>
            </w:r>
            <w:proofErr w:type="gramStart"/>
            <w:r w:rsidRPr="00466BCB">
              <w:rPr>
                <w:rFonts w:eastAsia="標楷體" w:hAnsi="標楷體" w:cs="新細明體"/>
                <w:kern w:val="0"/>
                <w:sz w:val="20"/>
                <w:szCs w:val="20"/>
              </w:rPr>
              <w:t>準</w:t>
            </w:r>
            <w:proofErr w:type="gramEnd"/>
            <w:r w:rsidRPr="00466BCB">
              <w:rPr>
                <w:rFonts w:eastAsia="標楷體" w:hAnsi="標楷體" w:cs="新細明體"/>
                <w:kern w:val="0"/>
                <w:sz w:val="20"/>
                <w:szCs w:val="20"/>
              </w:rPr>
              <w:t>據法。</w:t>
            </w:r>
            <w:r w:rsidRPr="00466BCB">
              <w:rPr>
                <w:rFonts w:eastAsia="標楷體" w:cs="新細明體"/>
                <w:kern w:val="0"/>
                <w:sz w:val="20"/>
                <w:szCs w:val="20"/>
              </w:rPr>
              <w:br/>
            </w:r>
            <w:r w:rsidRPr="00466BCB">
              <w:rPr>
                <w:rFonts w:eastAsia="標楷體" w:cs="新細明體"/>
                <w:kern w:val="0"/>
                <w:sz w:val="20"/>
                <w:szCs w:val="20"/>
              </w:rPr>
              <w:br/>
            </w:r>
            <w:r w:rsidRPr="00466BCB">
              <w:rPr>
                <w:rFonts w:eastAsia="標楷體" w:hAnsi="標楷體" w:cs="新細明體"/>
                <w:kern w:val="0"/>
                <w:sz w:val="20"/>
                <w:szCs w:val="20"/>
              </w:rPr>
              <w:t>前項契約應包含下列內容：</w:t>
            </w:r>
            <w:r w:rsidR="0028033B" w:rsidRPr="00466BCB">
              <w:rPr>
                <w:rFonts w:eastAsia="標楷體" w:cs="新細明體"/>
                <w:kern w:val="0"/>
                <w:sz w:val="20"/>
                <w:szCs w:val="20"/>
              </w:rPr>
              <w:br/>
            </w:r>
            <w:r w:rsidRPr="00466BCB">
              <w:rPr>
                <w:rFonts w:eastAsia="標楷體" w:hAnsi="標楷體" w:cs="新細明體"/>
                <w:kern w:val="0"/>
                <w:sz w:val="20"/>
                <w:szCs w:val="20"/>
              </w:rPr>
              <w:t>（一）保管機構應盡善良管理人之注意。</w:t>
            </w:r>
            <w:r w:rsidR="0028033B" w:rsidRPr="00466BCB">
              <w:rPr>
                <w:rFonts w:eastAsia="標楷體" w:cs="新細明體"/>
                <w:kern w:val="0"/>
                <w:sz w:val="20"/>
                <w:szCs w:val="20"/>
              </w:rPr>
              <w:br/>
            </w:r>
            <w:r w:rsidRPr="00466BCB">
              <w:rPr>
                <w:rFonts w:eastAsia="標楷體" w:hAnsi="標楷體" w:cs="新細明體"/>
                <w:kern w:val="0"/>
                <w:sz w:val="20"/>
                <w:szCs w:val="20"/>
              </w:rPr>
              <w:t>（二）保管機構應負之責任與忠實義務。</w:t>
            </w:r>
            <w:r w:rsidR="0028033B" w:rsidRPr="00466BCB">
              <w:rPr>
                <w:rFonts w:eastAsia="標楷體" w:cs="新細明體"/>
                <w:kern w:val="0"/>
                <w:sz w:val="20"/>
                <w:szCs w:val="20"/>
              </w:rPr>
              <w:br/>
            </w:r>
            <w:r w:rsidRPr="00466BCB">
              <w:rPr>
                <w:rFonts w:eastAsia="標楷體" w:hAnsi="標楷體" w:cs="新細明體"/>
                <w:kern w:val="0"/>
                <w:sz w:val="20"/>
                <w:szCs w:val="20"/>
              </w:rPr>
              <w:t>（三）基金運用局依該委託契約保管性質，認有必要訂定之其他事項。</w:t>
            </w:r>
            <w:r w:rsidR="0028033B" w:rsidRPr="00466BCB">
              <w:rPr>
                <w:rFonts w:eastAsia="標楷體" w:cs="新細明體"/>
                <w:kern w:val="0"/>
                <w:sz w:val="20"/>
                <w:szCs w:val="20"/>
              </w:rPr>
              <w:br/>
            </w:r>
            <w:r w:rsidRPr="00466BCB">
              <w:rPr>
                <w:rFonts w:eastAsia="標楷體" w:hAnsi="標楷體" w:cs="新細明體"/>
                <w:kern w:val="0"/>
                <w:sz w:val="20"/>
                <w:szCs w:val="20"/>
              </w:rPr>
              <w:t>（四）解除契約及終止契約情事。</w:t>
            </w:r>
            <w:r w:rsidR="0028033B" w:rsidRPr="00466BCB">
              <w:rPr>
                <w:rFonts w:eastAsia="標楷體" w:cs="新細明體"/>
                <w:kern w:val="0"/>
                <w:sz w:val="20"/>
                <w:szCs w:val="20"/>
              </w:rPr>
              <w:br/>
            </w:r>
            <w:r w:rsidRPr="00466BCB">
              <w:rPr>
                <w:rFonts w:eastAsia="標楷體" w:hAnsi="標楷體" w:cs="新細明體"/>
                <w:kern w:val="0"/>
                <w:sz w:val="20"/>
                <w:szCs w:val="20"/>
              </w:rPr>
              <w:t>（五）保管報酬計算方式。</w:t>
            </w:r>
            <w:r w:rsidR="0028033B" w:rsidRPr="00466BCB">
              <w:rPr>
                <w:rFonts w:eastAsia="標楷體" w:cs="新細明體"/>
                <w:kern w:val="0"/>
                <w:sz w:val="20"/>
                <w:szCs w:val="20"/>
              </w:rPr>
              <w:br/>
            </w:r>
            <w:r w:rsidRPr="00466BCB">
              <w:rPr>
                <w:rFonts w:eastAsia="標楷體" w:hAnsi="標楷體" w:cs="新細明體"/>
                <w:kern w:val="0"/>
                <w:sz w:val="20"/>
                <w:szCs w:val="20"/>
              </w:rPr>
              <w:t>（六）解決糾紛之仲裁條款或管轄法院。</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建立盡責管理的政策</w:t>
            </w:r>
          </w:p>
        </w:tc>
      </w:tr>
      <w:tr w:rsidR="009C7687" w:rsidRPr="00466BCB" w:rsidTr="009C7687">
        <w:trPr>
          <w:trHeight w:val="972"/>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勞動基金運用作業要點</w:t>
            </w:r>
            <w:r w:rsidRPr="00466BCB">
              <w:rPr>
                <w:rFonts w:eastAsia="標楷體" w:cs="新細明體"/>
                <w:kern w:val="0"/>
                <w:sz w:val="20"/>
                <w:szCs w:val="20"/>
              </w:rPr>
              <w:t xml:space="preserve"> </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第二點</w:t>
            </w:r>
            <w:r w:rsidRPr="00466BCB">
              <w:rPr>
                <w:rFonts w:eastAsia="標楷體" w:cs="新細明體"/>
                <w:kern w:val="0"/>
                <w:sz w:val="20"/>
                <w:szCs w:val="20"/>
              </w:rPr>
              <w:t>(</w:t>
            </w:r>
            <w:r w:rsidRPr="00466BCB">
              <w:rPr>
                <w:rFonts w:eastAsia="標楷體" w:hAnsi="標楷體" w:cs="新細明體"/>
                <w:kern w:val="0"/>
                <w:sz w:val="20"/>
                <w:szCs w:val="20"/>
              </w:rPr>
              <w:t>二</w:t>
            </w:r>
            <w:r w:rsidRPr="00466BCB">
              <w:rPr>
                <w:rFonts w:eastAsia="標楷體" w:cs="新細明體"/>
                <w:kern w:val="0"/>
                <w:sz w:val="20"/>
                <w:szCs w:val="20"/>
              </w:rPr>
              <w:t>)</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二、投資運用原則如下：</w:t>
            </w:r>
            <w:r w:rsidRPr="00466BCB">
              <w:rPr>
                <w:rFonts w:eastAsia="標楷體" w:cs="新細明體"/>
                <w:kern w:val="0"/>
                <w:sz w:val="20"/>
                <w:szCs w:val="20"/>
              </w:rPr>
              <w:br/>
            </w:r>
            <w:r w:rsidRPr="00466BCB">
              <w:rPr>
                <w:rFonts w:eastAsia="標楷體" w:hAnsi="標楷體" w:cs="新細明體"/>
                <w:kern w:val="0"/>
                <w:sz w:val="20"/>
                <w:szCs w:val="20"/>
              </w:rPr>
              <w:t>（二）兼顧基金收益性下，投資標的之企業社會責任與倫理應納入考量。</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建立盡責管理的政策、關注被投資公司</w:t>
            </w:r>
          </w:p>
        </w:tc>
      </w:tr>
      <w:tr w:rsidR="009C7687" w:rsidRPr="00466BCB" w:rsidTr="009C7687">
        <w:trPr>
          <w:trHeight w:val="1560"/>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w:t>
            </w:r>
            <w:r w:rsidR="004536E5" w:rsidRPr="00466BCB">
              <w:rPr>
                <w:rFonts w:eastAsia="標楷體" w:hAnsi="標楷體" w:cs="新細明體" w:hint="eastAsia"/>
                <w:kern w:val="0"/>
                <w:sz w:val="20"/>
                <w:szCs w:val="20"/>
              </w:rPr>
              <w:t>信託</w:t>
            </w:r>
            <w:r w:rsidRPr="00466BCB">
              <w:rPr>
                <w:rFonts w:eastAsia="標楷體" w:hAnsi="標楷體" w:cs="新細明體"/>
                <w:kern w:val="0"/>
                <w:sz w:val="20"/>
                <w:szCs w:val="20"/>
              </w:rPr>
              <w:t>事業負責人與業務人員管理規則</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15</w:t>
            </w:r>
            <w:r w:rsidRPr="00466BCB">
              <w:rPr>
                <w:rFonts w:eastAsia="標楷體" w:hAnsi="標楷體" w:cs="新細明體"/>
                <w:kern w:val="0"/>
                <w:sz w:val="20"/>
                <w:szCs w:val="20"/>
              </w:rPr>
              <w:t>條第</w:t>
            </w:r>
            <w:r w:rsidRPr="00466BCB">
              <w:rPr>
                <w:rFonts w:eastAsia="標楷體" w:cs="新細明體"/>
                <w:kern w:val="0"/>
                <w:sz w:val="20"/>
                <w:szCs w:val="20"/>
              </w:rPr>
              <w:t>1</w:t>
            </w:r>
            <w:r w:rsidRPr="00466BCB">
              <w:rPr>
                <w:rFonts w:eastAsia="標楷體" w:hAnsi="標楷體" w:cs="新細明體"/>
                <w:kern w:val="0"/>
                <w:sz w:val="20"/>
                <w:szCs w:val="20"/>
              </w:rPr>
              <w:t>項</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事業之負責人、部門主管、分支機構經理人或基金經理人本人或其配偶，有擔任證券發行公司之董事、監察人、經理人或持有已發行股份總數百分之五以上股東者，於證券投資信託事業運用證券投資信託基金買賣該發行公司所發行之證券時，不得參與買賣之決定。</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p>
        </w:tc>
      </w:tr>
      <w:tr w:rsidR="009C7687" w:rsidRPr="00466BCB" w:rsidTr="009C7687">
        <w:trPr>
          <w:trHeight w:val="936"/>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證券投資信託及顧問事業與兼營他事業或由他事業兼營之利益衝突防範實務守則</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w:t>
            </w:r>
            <w:r w:rsidRPr="00466BCB">
              <w:rPr>
                <w:rFonts w:eastAsia="標楷體" w:hAnsi="標楷體" w:cs="新細明體"/>
                <w:kern w:val="0"/>
                <w:sz w:val="20"/>
                <w:szCs w:val="20"/>
              </w:rPr>
              <w:t>條</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當面臨與投資人間之利益衝突時，以投資人利益為最優先考量，即為忠實誠信原則的具體展現。</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p>
        </w:tc>
      </w:tr>
      <w:tr w:rsidR="009C7687" w:rsidRPr="00466BCB" w:rsidTr="009C7687">
        <w:trPr>
          <w:trHeight w:val="936"/>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494D00" w:rsidP="00494D00">
            <w:pPr>
              <w:widowControl/>
              <w:rPr>
                <w:rFonts w:eastAsia="標楷體" w:cs="新細明體"/>
                <w:kern w:val="0"/>
                <w:sz w:val="20"/>
                <w:szCs w:val="20"/>
              </w:rPr>
            </w:pPr>
            <w:r w:rsidRPr="00466BCB">
              <w:rPr>
                <w:rFonts w:eastAsia="標楷體" w:hAnsi="標楷體" w:cs="新細明體"/>
                <w:kern w:val="0"/>
                <w:sz w:val="20"/>
                <w:szCs w:val="20"/>
              </w:rPr>
              <w:t>證券投資信託事業募集</w:t>
            </w:r>
            <w:r w:rsidRPr="00466BCB">
              <w:rPr>
                <w:rFonts w:eastAsia="標楷體" w:hAnsi="標楷體" w:cs="新細明體" w:hint="eastAsia"/>
                <w:kern w:val="0"/>
                <w:sz w:val="20"/>
                <w:szCs w:val="20"/>
              </w:rPr>
              <w:t>證券</w:t>
            </w:r>
            <w:r w:rsidR="009C7687" w:rsidRPr="00466BCB">
              <w:rPr>
                <w:rFonts w:eastAsia="標楷體" w:hAnsi="標楷體" w:cs="新細明體"/>
                <w:kern w:val="0"/>
                <w:sz w:val="20"/>
                <w:szCs w:val="20"/>
              </w:rPr>
              <w:t>投資信託基金公開說明書應行記載事項準則</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13</w:t>
            </w:r>
            <w:r w:rsidRPr="00466BCB">
              <w:rPr>
                <w:rFonts w:eastAsia="標楷體" w:hAnsi="標楷體" w:cs="新細明體"/>
                <w:kern w:val="0"/>
                <w:sz w:val="20"/>
                <w:szCs w:val="20"/>
              </w:rPr>
              <w:t>條</w:t>
            </w:r>
            <w:r w:rsidR="00E70E7B" w:rsidRPr="00466BCB">
              <w:rPr>
                <w:rFonts w:eastAsia="標楷體" w:hAnsi="標楷體" w:cs="新細明體" w:hint="eastAsia"/>
                <w:kern w:val="0"/>
                <w:sz w:val="20"/>
                <w:szCs w:val="20"/>
              </w:rPr>
              <w:t>第</w:t>
            </w:r>
            <w:r w:rsidR="00E70E7B" w:rsidRPr="00466BCB">
              <w:rPr>
                <w:rFonts w:eastAsia="標楷體" w:hAnsi="標楷體" w:cs="新細明體" w:hint="eastAsia"/>
                <w:kern w:val="0"/>
                <w:sz w:val="20"/>
                <w:szCs w:val="20"/>
              </w:rPr>
              <w:t>1</w:t>
            </w:r>
            <w:r w:rsidR="00E70E7B" w:rsidRPr="00466BCB">
              <w:rPr>
                <w:rFonts w:eastAsia="標楷體" w:hAnsi="標楷體" w:cs="新細明體" w:hint="eastAsia"/>
                <w:kern w:val="0"/>
                <w:sz w:val="20"/>
                <w:szCs w:val="20"/>
              </w:rPr>
              <w:t>項第</w:t>
            </w:r>
            <w:r w:rsidR="00E70E7B" w:rsidRPr="00466BCB">
              <w:rPr>
                <w:rFonts w:eastAsia="標楷體" w:hAnsi="標楷體" w:cs="新細明體" w:hint="eastAsia"/>
                <w:kern w:val="0"/>
                <w:sz w:val="20"/>
                <w:szCs w:val="20"/>
              </w:rPr>
              <w:t>6</w:t>
            </w:r>
            <w:r w:rsidR="00E70E7B" w:rsidRPr="00466BCB">
              <w:rPr>
                <w:rFonts w:eastAsia="標楷體" w:hAnsi="標楷體" w:cs="新細明體" w:hint="eastAsia"/>
                <w:kern w:val="0"/>
                <w:sz w:val="20"/>
                <w:szCs w:val="20"/>
              </w:rPr>
              <w:t>、</w:t>
            </w:r>
            <w:r w:rsidR="00E70E7B" w:rsidRPr="00466BCB">
              <w:rPr>
                <w:rFonts w:eastAsia="標楷體" w:hAnsi="標楷體" w:cs="新細明體" w:hint="eastAsia"/>
                <w:kern w:val="0"/>
                <w:sz w:val="20"/>
                <w:szCs w:val="20"/>
              </w:rPr>
              <w:t>7</w:t>
            </w:r>
            <w:r w:rsidR="00E70E7B" w:rsidRPr="00466BCB">
              <w:rPr>
                <w:rFonts w:eastAsia="標楷體" w:hAnsi="標楷體" w:cs="新細明體" w:hint="eastAsia"/>
                <w:kern w:val="0"/>
                <w:sz w:val="20"/>
                <w:szCs w:val="20"/>
              </w:rPr>
              <w:t>款</w:t>
            </w:r>
          </w:p>
        </w:tc>
        <w:tc>
          <w:tcPr>
            <w:tcW w:w="2443" w:type="pct"/>
            <w:tcBorders>
              <w:top w:val="nil"/>
              <w:left w:val="nil"/>
              <w:bottom w:val="single" w:sz="4" w:space="0" w:color="auto"/>
              <w:right w:val="single" w:sz="4" w:space="0" w:color="auto"/>
            </w:tcBorders>
            <w:shd w:val="clear" w:color="auto" w:fill="auto"/>
            <w:vAlign w:val="center"/>
            <w:hideMark/>
          </w:tcPr>
          <w:p w:rsidR="00D42D89" w:rsidRPr="00466BCB" w:rsidRDefault="00D42D89" w:rsidP="00D42D89">
            <w:pPr>
              <w:widowControl/>
              <w:rPr>
                <w:rFonts w:eastAsia="標楷體" w:hAnsi="標楷體" w:cs="新細明體"/>
                <w:kern w:val="0"/>
                <w:sz w:val="20"/>
                <w:szCs w:val="20"/>
              </w:rPr>
            </w:pPr>
            <w:r w:rsidRPr="00466BCB">
              <w:rPr>
                <w:rFonts w:eastAsia="標楷體" w:hAnsi="標楷體" w:cs="新細明體" w:hint="eastAsia"/>
                <w:kern w:val="0"/>
                <w:sz w:val="20"/>
                <w:szCs w:val="20"/>
              </w:rPr>
              <w:t>基金投資應記載下列事項：</w:t>
            </w:r>
          </w:p>
          <w:p w:rsidR="00D42D89" w:rsidRPr="00466BCB" w:rsidRDefault="00D42D89" w:rsidP="00D42D89">
            <w:pPr>
              <w:widowControl/>
              <w:rPr>
                <w:rFonts w:eastAsia="標楷體" w:hAnsi="標楷體" w:cs="新細明體"/>
                <w:kern w:val="0"/>
                <w:sz w:val="20"/>
                <w:szCs w:val="20"/>
              </w:rPr>
            </w:pPr>
            <w:r w:rsidRPr="00466BCB">
              <w:rPr>
                <w:rFonts w:eastAsia="標楷體" w:hAnsi="標楷體" w:cs="新細明體" w:hint="eastAsia"/>
                <w:kern w:val="0"/>
                <w:sz w:val="20"/>
                <w:szCs w:val="20"/>
              </w:rPr>
              <w:t>六、基金參與股票發行公司股東會行使表決權之處理原則及方法。</w:t>
            </w:r>
          </w:p>
          <w:p w:rsidR="00D42D89" w:rsidRPr="00466BCB" w:rsidRDefault="00D42D89" w:rsidP="00D42D89">
            <w:pPr>
              <w:widowControl/>
              <w:rPr>
                <w:rFonts w:eastAsia="標楷體" w:hAnsi="標楷體" w:cs="新細明體"/>
                <w:kern w:val="0"/>
                <w:sz w:val="20"/>
                <w:szCs w:val="20"/>
              </w:rPr>
            </w:pPr>
            <w:r w:rsidRPr="00466BCB">
              <w:rPr>
                <w:rFonts w:eastAsia="標楷體" w:hAnsi="標楷體" w:cs="新細明體" w:hint="eastAsia"/>
                <w:kern w:val="0"/>
                <w:sz w:val="20"/>
                <w:szCs w:val="20"/>
              </w:rPr>
              <w:t>七、基金參與所持有基金之受益人會議行使表決權之處理原則及方法。</w:t>
            </w:r>
          </w:p>
          <w:p w:rsidR="009C7687" w:rsidRPr="00466BCB" w:rsidRDefault="009C7687" w:rsidP="009C7687">
            <w:pPr>
              <w:widowControl/>
              <w:rPr>
                <w:rFonts w:eastAsia="標楷體" w:cs="新細明體"/>
                <w:kern w:val="0"/>
                <w:sz w:val="20"/>
                <w:szCs w:val="20"/>
              </w:rPr>
            </w:pP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建立明確的投票政策</w:t>
            </w:r>
          </w:p>
        </w:tc>
      </w:tr>
      <w:tr w:rsidR="009C7687" w:rsidRPr="00466BCB" w:rsidTr="009C7687">
        <w:trPr>
          <w:trHeight w:val="1560"/>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lastRenderedPageBreak/>
              <w:t>證券投資信託基金管理辦法</w:t>
            </w:r>
          </w:p>
        </w:tc>
        <w:tc>
          <w:tcPr>
            <w:tcW w:w="792"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第</w:t>
            </w:r>
            <w:r w:rsidRPr="00466BCB">
              <w:rPr>
                <w:rFonts w:eastAsia="標楷體" w:cs="新細明體"/>
                <w:kern w:val="0"/>
                <w:sz w:val="20"/>
                <w:szCs w:val="20"/>
              </w:rPr>
              <w:t>10</w:t>
            </w:r>
            <w:r w:rsidRPr="00466BCB">
              <w:rPr>
                <w:rFonts w:eastAsia="標楷體" w:hAnsi="標楷體" w:cs="新細明體"/>
                <w:kern w:val="0"/>
                <w:sz w:val="20"/>
                <w:szCs w:val="20"/>
              </w:rPr>
              <w:t>條第</w:t>
            </w:r>
            <w:r w:rsidRPr="00466BCB">
              <w:rPr>
                <w:rFonts w:eastAsia="標楷體" w:cs="新細明體"/>
                <w:kern w:val="0"/>
                <w:sz w:val="20"/>
                <w:szCs w:val="20"/>
              </w:rPr>
              <w:t>1</w:t>
            </w:r>
            <w:r w:rsidRPr="00466BCB">
              <w:rPr>
                <w:rFonts w:eastAsia="標楷體" w:hAnsi="標楷體" w:cs="新細明體"/>
                <w:kern w:val="0"/>
                <w:sz w:val="20"/>
                <w:szCs w:val="20"/>
              </w:rPr>
              <w:t>項第</w:t>
            </w:r>
            <w:r w:rsidRPr="00466BCB">
              <w:rPr>
                <w:rFonts w:eastAsia="標楷體" w:cs="新細明體"/>
                <w:kern w:val="0"/>
                <w:sz w:val="20"/>
                <w:szCs w:val="20"/>
              </w:rPr>
              <w:t>5</w:t>
            </w:r>
            <w:r w:rsidRPr="00466BCB">
              <w:rPr>
                <w:rFonts w:eastAsia="標楷體" w:hAnsi="標楷體" w:cs="新細明體"/>
                <w:kern w:val="0"/>
                <w:sz w:val="20"/>
                <w:szCs w:val="20"/>
              </w:rPr>
              <w:t>款</w:t>
            </w:r>
          </w:p>
        </w:tc>
        <w:tc>
          <w:tcPr>
            <w:tcW w:w="2443"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證券投資信託事業募集基金，應依本辦法及證券投資信託契約之規定，運用基金資產，除本會另有規定外，並應遵守下列規定：</w:t>
            </w:r>
            <w:r w:rsidRPr="00466BCB">
              <w:rPr>
                <w:rFonts w:eastAsia="標楷體" w:cs="新細明體"/>
                <w:kern w:val="0"/>
                <w:sz w:val="20"/>
                <w:szCs w:val="20"/>
              </w:rPr>
              <w:br/>
            </w:r>
            <w:r w:rsidRPr="00466BCB">
              <w:rPr>
                <w:rFonts w:eastAsia="標楷體" w:hAnsi="標楷體" w:cs="新細明體"/>
                <w:kern w:val="0"/>
                <w:sz w:val="20"/>
                <w:szCs w:val="20"/>
              </w:rPr>
              <w:t>五、不得投資於本證券投資信託事業或與本證券投資信託事業有利害關係之公司所發行之證券</w:t>
            </w:r>
          </w:p>
        </w:tc>
        <w:tc>
          <w:tcPr>
            <w:tcW w:w="725" w:type="pct"/>
            <w:tcBorders>
              <w:top w:val="nil"/>
              <w:left w:val="nil"/>
              <w:bottom w:val="single" w:sz="4" w:space="0" w:color="auto"/>
              <w:right w:val="single" w:sz="4" w:space="0" w:color="auto"/>
            </w:tcBorders>
            <w:shd w:val="clear" w:color="auto" w:fill="auto"/>
            <w:vAlign w:val="center"/>
            <w:hideMark/>
          </w:tcPr>
          <w:p w:rsidR="009C7687" w:rsidRPr="00466BCB" w:rsidRDefault="009C7687" w:rsidP="009C7687">
            <w:pPr>
              <w:widowControl/>
              <w:rPr>
                <w:rFonts w:eastAsia="標楷體" w:cs="新細明體"/>
                <w:kern w:val="0"/>
                <w:sz w:val="20"/>
                <w:szCs w:val="20"/>
              </w:rPr>
            </w:pPr>
            <w:r w:rsidRPr="00466BCB">
              <w:rPr>
                <w:rFonts w:eastAsia="標楷體" w:hAnsi="標楷體" w:cs="新細明體"/>
                <w:kern w:val="0"/>
                <w:sz w:val="20"/>
                <w:szCs w:val="20"/>
              </w:rPr>
              <w:t>利益衝突管理</w:t>
            </w:r>
          </w:p>
        </w:tc>
      </w:tr>
    </w:tbl>
    <w:p w:rsidR="009C7687" w:rsidRPr="00767182" w:rsidRDefault="009C7687">
      <w:pPr>
        <w:widowControl/>
        <w:rPr>
          <w:rFonts w:eastAsia="標楷體"/>
          <w:b/>
        </w:rPr>
      </w:pPr>
      <w:r w:rsidRPr="00767182">
        <w:rPr>
          <w:rFonts w:eastAsia="標楷體"/>
          <w:b/>
        </w:rPr>
        <w:br w:type="page"/>
      </w:r>
    </w:p>
    <w:p w:rsidR="00EE140F" w:rsidRPr="00767182" w:rsidRDefault="004C4FA6" w:rsidP="00EE140F">
      <w:pPr>
        <w:jc w:val="both"/>
        <w:rPr>
          <w:rFonts w:eastAsia="標楷體"/>
        </w:rPr>
      </w:pPr>
      <w:r w:rsidRPr="0094738E">
        <w:rPr>
          <w:rFonts w:eastAsia="標楷體" w:hAnsi="標楷體"/>
          <w:b/>
          <w:sz w:val="28"/>
          <w:szCs w:val="28"/>
        </w:rPr>
        <w:lastRenderedPageBreak/>
        <w:t>附</w:t>
      </w:r>
      <w:r w:rsidR="00295EC9" w:rsidRPr="0094738E">
        <w:rPr>
          <w:rFonts w:eastAsia="標楷體" w:hAnsi="標楷體"/>
          <w:b/>
          <w:sz w:val="28"/>
          <w:szCs w:val="28"/>
        </w:rPr>
        <w:t>件</w:t>
      </w:r>
      <w:proofErr w:type="gramStart"/>
      <w:r w:rsidR="00FB2C9D" w:rsidRPr="0094738E">
        <w:rPr>
          <w:rFonts w:eastAsia="標楷體" w:hAnsi="標楷體"/>
          <w:b/>
          <w:sz w:val="28"/>
          <w:szCs w:val="28"/>
        </w:rPr>
        <w:t>三</w:t>
      </w:r>
      <w:proofErr w:type="gramEnd"/>
      <w:r w:rsidRPr="0094738E">
        <w:rPr>
          <w:rFonts w:eastAsia="標楷體" w:hAnsi="標楷體"/>
          <w:b/>
          <w:sz w:val="28"/>
          <w:szCs w:val="28"/>
        </w:rPr>
        <w:t>：</w:t>
      </w:r>
      <w:r w:rsidR="00295EC9" w:rsidRPr="0094738E">
        <w:rPr>
          <w:rFonts w:eastAsia="標楷體" w:hAnsi="標楷體"/>
          <w:b/>
          <w:sz w:val="28"/>
          <w:szCs w:val="28"/>
        </w:rPr>
        <w:t>英、日、</w:t>
      </w:r>
      <w:r w:rsidR="00CE71DE">
        <w:rPr>
          <w:rFonts w:eastAsia="標楷體" w:hAnsi="標楷體"/>
          <w:b/>
          <w:sz w:val="28"/>
          <w:szCs w:val="28"/>
        </w:rPr>
        <w:t>馬</w:t>
      </w:r>
      <w:r w:rsidR="00295EC9" w:rsidRPr="0094738E">
        <w:rPr>
          <w:rFonts w:eastAsia="標楷體" w:hAnsi="標楷體"/>
          <w:b/>
          <w:sz w:val="28"/>
          <w:szCs w:val="28"/>
        </w:rPr>
        <w:t>、</w:t>
      </w:r>
      <w:r w:rsidR="00CE71DE">
        <w:rPr>
          <w:rFonts w:eastAsia="標楷體" w:hAnsi="標楷體"/>
          <w:b/>
          <w:sz w:val="28"/>
          <w:szCs w:val="28"/>
        </w:rPr>
        <w:t>港</w:t>
      </w:r>
      <w:r w:rsidR="00636F5E" w:rsidRPr="0094738E">
        <w:rPr>
          <w:rFonts w:eastAsia="標楷體" w:hAnsi="標楷體"/>
          <w:b/>
          <w:sz w:val="28"/>
          <w:szCs w:val="28"/>
        </w:rPr>
        <w:t>盡責管理方式概</w:t>
      </w:r>
      <w:proofErr w:type="gramStart"/>
      <w:r w:rsidR="00636F5E" w:rsidRPr="0094738E">
        <w:rPr>
          <w:rFonts w:eastAsia="標楷體" w:hAnsi="標楷體"/>
          <w:b/>
          <w:sz w:val="28"/>
          <w:szCs w:val="28"/>
        </w:rPr>
        <w:t>覽</w:t>
      </w:r>
      <w:proofErr w:type="gramEnd"/>
      <w:r w:rsidR="00636F5E" w:rsidRPr="0094738E">
        <w:rPr>
          <w:rFonts w:eastAsia="標楷體" w:hAnsi="標楷體"/>
          <w:b/>
          <w:sz w:val="28"/>
          <w:szCs w:val="28"/>
        </w:rPr>
        <w:t>表</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559"/>
        <w:gridCol w:w="2835"/>
        <w:gridCol w:w="1985"/>
        <w:gridCol w:w="1559"/>
      </w:tblGrid>
      <w:tr w:rsidR="00AC0905" w:rsidRPr="00466BCB" w:rsidTr="00AC0905">
        <w:trPr>
          <w:trHeight w:val="411"/>
        </w:trPr>
        <w:tc>
          <w:tcPr>
            <w:tcW w:w="1135" w:type="dxa"/>
          </w:tcPr>
          <w:p w:rsidR="00106D17" w:rsidRDefault="00913AF0" w:rsidP="00A87568">
            <w:pPr>
              <w:tabs>
                <w:tab w:val="left" w:pos="2565"/>
              </w:tabs>
              <w:spacing w:beforeLines="50" w:afterLines="50"/>
              <w:jc w:val="center"/>
              <w:rPr>
                <w:rFonts w:eastAsia="標楷體"/>
                <w:sz w:val="20"/>
                <w:szCs w:val="20"/>
              </w:rPr>
            </w:pPr>
            <w:r w:rsidRPr="00466BCB">
              <w:rPr>
                <w:rFonts w:eastAsia="標楷體" w:hAnsi="標楷體"/>
                <w:b/>
              </w:rPr>
              <w:t>國家</w:t>
            </w:r>
          </w:p>
        </w:tc>
        <w:tc>
          <w:tcPr>
            <w:tcW w:w="1559" w:type="dxa"/>
          </w:tcPr>
          <w:p w:rsidR="002448A0" w:rsidRPr="00466BCB" w:rsidRDefault="008E0B96" w:rsidP="00A87568">
            <w:pPr>
              <w:tabs>
                <w:tab w:val="left" w:pos="2565"/>
              </w:tabs>
              <w:spacing w:beforeLines="50" w:afterLines="50"/>
              <w:jc w:val="center"/>
              <w:rPr>
                <w:rFonts w:eastAsia="標楷體"/>
                <w:sz w:val="20"/>
                <w:szCs w:val="20"/>
              </w:rPr>
            </w:pPr>
            <w:r w:rsidRPr="00466BCB">
              <w:rPr>
                <w:rFonts w:eastAsia="標楷體" w:hAnsi="標楷體"/>
                <w:b/>
              </w:rPr>
              <w:t>制訂機構</w:t>
            </w:r>
          </w:p>
        </w:tc>
        <w:tc>
          <w:tcPr>
            <w:tcW w:w="2835" w:type="dxa"/>
          </w:tcPr>
          <w:p w:rsidR="002448A0" w:rsidRPr="00466BCB" w:rsidRDefault="008E0B96" w:rsidP="00A87568">
            <w:pPr>
              <w:tabs>
                <w:tab w:val="left" w:pos="2565"/>
              </w:tabs>
              <w:spacing w:beforeLines="50" w:afterLines="50"/>
              <w:jc w:val="center"/>
              <w:rPr>
                <w:rFonts w:eastAsia="標楷體"/>
                <w:sz w:val="20"/>
                <w:szCs w:val="20"/>
              </w:rPr>
            </w:pPr>
            <w:r w:rsidRPr="00466BCB">
              <w:rPr>
                <w:rFonts w:eastAsia="標楷體" w:hAnsi="標楷體"/>
                <w:b/>
              </w:rPr>
              <w:t>守則名稱</w:t>
            </w:r>
          </w:p>
        </w:tc>
        <w:tc>
          <w:tcPr>
            <w:tcW w:w="1985" w:type="dxa"/>
          </w:tcPr>
          <w:p w:rsidR="002448A0" w:rsidRPr="00466BCB" w:rsidRDefault="008E0B96" w:rsidP="00A87568">
            <w:pPr>
              <w:tabs>
                <w:tab w:val="left" w:pos="2565"/>
              </w:tabs>
              <w:spacing w:beforeLines="50" w:afterLines="50"/>
              <w:jc w:val="center"/>
              <w:rPr>
                <w:rFonts w:eastAsia="標楷體"/>
                <w:sz w:val="20"/>
                <w:szCs w:val="20"/>
              </w:rPr>
            </w:pPr>
            <w:r w:rsidRPr="00466BCB">
              <w:rPr>
                <w:rFonts w:eastAsia="標楷體" w:hAnsi="標楷體"/>
                <w:b/>
              </w:rPr>
              <w:t>適用範圍</w:t>
            </w:r>
          </w:p>
        </w:tc>
        <w:tc>
          <w:tcPr>
            <w:tcW w:w="1559" w:type="dxa"/>
          </w:tcPr>
          <w:p w:rsidR="002448A0" w:rsidRPr="00466BCB" w:rsidRDefault="008E0B96" w:rsidP="00A87568">
            <w:pPr>
              <w:tabs>
                <w:tab w:val="left" w:pos="2565"/>
              </w:tabs>
              <w:spacing w:beforeLines="50" w:afterLines="50"/>
              <w:jc w:val="center"/>
              <w:rPr>
                <w:rFonts w:eastAsia="標楷體"/>
                <w:sz w:val="20"/>
                <w:szCs w:val="20"/>
              </w:rPr>
            </w:pPr>
            <w:r w:rsidRPr="00466BCB">
              <w:rPr>
                <w:rFonts w:eastAsia="標楷體" w:hAnsi="標楷體"/>
                <w:b/>
              </w:rPr>
              <w:t>法律效力</w:t>
            </w:r>
          </w:p>
        </w:tc>
      </w:tr>
      <w:tr w:rsidR="00AC0905" w:rsidRPr="00466BCB" w:rsidTr="00447E39">
        <w:tc>
          <w:tcPr>
            <w:tcW w:w="1135" w:type="dxa"/>
            <w:vAlign w:val="center"/>
          </w:tcPr>
          <w:p w:rsidR="00106D17" w:rsidRDefault="004E146F">
            <w:pPr>
              <w:jc w:val="center"/>
              <w:rPr>
                <w:rFonts w:eastAsia="標楷體"/>
                <w:b/>
              </w:rPr>
            </w:pPr>
            <w:r w:rsidRPr="00466BCB">
              <w:rPr>
                <w:rFonts w:eastAsia="標楷體" w:hAnsi="標楷體"/>
                <w:b/>
              </w:rPr>
              <w:t>英國</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466BCB">
              <w:rPr>
                <w:rFonts w:eastAsia="標楷體" w:hAnsi="標楷體"/>
                <w:sz w:val="20"/>
                <w:szCs w:val="20"/>
              </w:rPr>
              <w:t>財務報告理事會（</w:t>
            </w:r>
            <w:r w:rsidRPr="00466BCB">
              <w:rPr>
                <w:rFonts w:eastAsia="標楷體"/>
                <w:sz w:val="20"/>
                <w:szCs w:val="20"/>
              </w:rPr>
              <w:t>FRC</w:t>
            </w:r>
            <w:r w:rsidRPr="00466BCB">
              <w:rPr>
                <w:rFonts w:eastAsia="標楷體" w:hAnsi="標楷體"/>
                <w:sz w:val="20"/>
                <w:szCs w:val="20"/>
              </w:rPr>
              <w:t>）</w:t>
            </w:r>
          </w:p>
        </w:tc>
        <w:tc>
          <w:tcPr>
            <w:tcW w:w="2835" w:type="dxa"/>
            <w:vAlign w:val="center"/>
          </w:tcPr>
          <w:p w:rsidR="00106D17" w:rsidRDefault="004E146F">
            <w:pPr>
              <w:jc w:val="center"/>
              <w:rPr>
                <w:rFonts w:eastAsia="標楷體"/>
                <w:sz w:val="20"/>
                <w:szCs w:val="20"/>
              </w:rPr>
            </w:pPr>
            <w:r w:rsidRPr="00466BCB">
              <w:rPr>
                <w:rFonts w:eastAsia="標楷體"/>
                <w:sz w:val="20"/>
                <w:szCs w:val="20"/>
              </w:rPr>
              <w:t>The UK Stewardship Code</w:t>
            </w:r>
          </w:p>
        </w:tc>
        <w:tc>
          <w:tcPr>
            <w:tcW w:w="1985" w:type="dxa"/>
            <w:vAlign w:val="center"/>
          </w:tcPr>
          <w:p w:rsidR="00106D17" w:rsidRDefault="004E146F">
            <w:pPr>
              <w:keepNext/>
              <w:jc w:val="center"/>
              <w:rPr>
                <w:rFonts w:eastAsia="標楷體"/>
                <w:sz w:val="20"/>
                <w:szCs w:val="20"/>
              </w:rPr>
            </w:pPr>
            <w:r w:rsidRPr="00466BCB">
              <w:rPr>
                <w:rFonts w:eastAsia="標楷體" w:hAnsi="標楷體"/>
                <w:sz w:val="20"/>
                <w:szCs w:val="20"/>
              </w:rPr>
              <w:t>資產所有人、資產管理人及服務提供人</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1A39A4">
              <w:rPr>
                <w:rFonts w:eastAsia="標楷體" w:hAnsi="標楷體"/>
                <w:sz w:val="20"/>
                <w:szCs w:val="20"/>
              </w:rPr>
              <w:t>遵循或解釋</w:t>
            </w:r>
          </w:p>
        </w:tc>
      </w:tr>
      <w:tr w:rsidR="00AC0905" w:rsidRPr="00466BCB" w:rsidTr="00447E39">
        <w:tc>
          <w:tcPr>
            <w:tcW w:w="1135" w:type="dxa"/>
            <w:vAlign w:val="center"/>
          </w:tcPr>
          <w:p w:rsidR="00106D17" w:rsidRDefault="004E146F">
            <w:pPr>
              <w:jc w:val="center"/>
              <w:rPr>
                <w:rFonts w:eastAsia="標楷體"/>
                <w:b/>
              </w:rPr>
            </w:pPr>
            <w:r w:rsidRPr="00466BCB">
              <w:rPr>
                <w:rFonts w:eastAsia="標楷體" w:hAnsi="標楷體"/>
                <w:b/>
              </w:rPr>
              <w:t>日本</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466BCB">
              <w:rPr>
                <w:rFonts w:eastAsia="標楷體" w:hAnsi="標楷體"/>
                <w:sz w:val="20"/>
                <w:szCs w:val="20"/>
              </w:rPr>
              <w:t>金融廳（</w:t>
            </w:r>
            <w:r w:rsidRPr="00466BCB">
              <w:rPr>
                <w:rFonts w:eastAsia="標楷體"/>
                <w:sz w:val="20"/>
                <w:szCs w:val="20"/>
              </w:rPr>
              <w:t>FSA</w:t>
            </w:r>
            <w:r w:rsidRPr="00466BCB">
              <w:rPr>
                <w:rFonts w:eastAsia="標楷體" w:hAnsi="標楷體"/>
                <w:sz w:val="20"/>
                <w:szCs w:val="20"/>
              </w:rPr>
              <w:t>）</w:t>
            </w:r>
          </w:p>
        </w:tc>
        <w:tc>
          <w:tcPr>
            <w:tcW w:w="2835" w:type="dxa"/>
            <w:vAlign w:val="center"/>
          </w:tcPr>
          <w:p w:rsidR="00106D17" w:rsidRDefault="004E146F" w:rsidP="00A87568">
            <w:pPr>
              <w:tabs>
                <w:tab w:val="left" w:pos="2565"/>
              </w:tabs>
              <w:spacing w:beforeLines="50" w:afterLines="50"/>
              <w:jc w:val="center"/>
              <w:rPr>
                <w:rFonts w:eastAsia="標楷體"/>
                <w:sz w:val="20"/>
                <w:szCs w:val="20"/>
                <w:lang w:eastAsia="ja-JP"/>
              </w:rPr>
            </w:pPr>
            <w:r w:rsidRPr="00466BCB">
              <w:rPr>
                <w:rFonts w:eastAsia="標楷體" w:hAnsi="標楷體"/>
                <w:sz w:val="20"/>
                <w:szCs w:val="20"/>
                <w:lang w:eastAsia="ja-JP"/>
              </w:rPr>
              <w:t>責任ある機関投資家の諸原則</w:t>
            </w:r>
          </w:p>
        </w:tc>
        <w:tc>
          <w:tcPr>
            <w:tcW w:w="1985" w:type="dxa"/>
            <w:vAlign w:val="center"/>
          </w:tcPr>
          <w:p w:rsidR="00106D17" w:rsidRDefault="004E146F">
            <w:pPr>
              <w:keepNext/>
              <w:ind w:leftChars="2" w:left="5"/>
              <w:jc w:val="center"/>
              <w:rPr>
                <w:rFonts w:eastAsia="標楷體" w:hAnsi="標楷體"/>
                <w:sz w:val="20"/>
                <w:szCs w:val="20"/>
              </w:rPr>
            </w:pPr>
            <w:r w:rsidRPr="00466BCB">
              <w:rPr>
                <w:rFonts w:eastAsia="標楷體" w:hAnsi="標楷體"/>
                <w:sz w:val="20"/>
                <w:szCs w:val="20"/>
              </w:rPr>
              <w:t>資產所有人、</w:t>
            </w:r>
          </w:p>
          <w:p w:rsidR="00106D17" w:rsidRDefault="004E146F">
            <w:pPr>
              <w:keepNext/>
              <w:ind w:leftChars="2" w:left="5"/>
              <w:jc w:val="center"/>
              <w:rPr>
                <w:rFonts w:eastAsia="標楷體"/>
                <w:sz w:val="20"/>
                <w:szCs w:val="20"/>
              </w:rPr>
            </w:pPr>
            <w:r w:rsidRPr="00466BCB">
              <w:rPr>
                <w:rFonts w:eastAsia="標楷體" w:hAnsi="標楷體"/>
                <w:sz w:val="20"/>
                <w:szCs w:val="20"/>
              </w:rPr>
              <w:t>資產管理人</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1A39A4">
              <w:rPr>
                <w:rFonts w:eastAsia="標楷體" w:hAnsi="標楷體"/>
                <w:sz w:val="20"/>
                <w:szCs w:val="20"/>
              </w:rPr>
              <w:t>遵循或解釋</w:t>
            </w:r>
          </w:p>
        </w:tc>
      </w:tr>
      <w:tr w:rsidR="005D5E2C" w:rsidRPr="00466BCB" w:rsidTr="00447E39">
        <w:trPr>
          <w:trHeight w:val="1189"/>
        </w:trPr>
        <w:tc>
          <w:tcPr>
            <w:tcW w:w="1135" w:type="dxa"/>
            <w:vAlign w:val="center"/>
          </w:tcPr>
          <w:p w:rsidR="00106D17" w:rsidRDefault="004E146F">
            <w:pPr>
              <w:jc w:val="center"/>
              <w:rPr>
                <w:rFonts w:eastAsia="標楷體" w:hAnsi="標楷體"/>
                <w:b/>
              </w:rPr>
            </w:pPr>
            <w:r w:rsidRPr="00466BCB">
              <w:rPr>
                <w:rFonts w:eastAsia="標楷體" w:hAnsi="標楷體"/>
                <w:b/>
              </w:rPr>
              <w:t>馬來</w:t>
            </w:r>
          </w:p>
          <w:p w:rsidR="00106D17" w:rsidRDefault="004E146F">
            <w:pPr>
              <w:jc w:val="center"/>
              <w:rPr>
                <w:rFonts w:eastAsia="標楷體"/>
                <w:b/>
              </w:rPr>
            </w:pPr>
            <w:r w:rsidRPr="00466BCB">
              <w:rPr>
                <w:rFonts w:eastAsia="標楷體" w:hAnsi="標楷體"/>
                <w:b/>
              </w:rPr>
              <w:t>西亞</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466BCB">
              <w:rPr>
                <w:rFonts w:eastAsia="標楷體" w:hAnsi="標楷體"/>
                <w:kern w:val="0"/>
                <w:sz w:val="20"/>
                <w:szCs w:val="20"/>
              </w:rPr>
              <w:t>證券委員會</w:t>
            </w:r>
            <w:r w:rsidRPr="00466BCB">
              <w:rPr>
                <w:rFonts w:eastAsia="標楷體"/>
                <w:kern w:val="0"/>
                <w:sz w:val="20"/>
                <w:szCs w:val="20"/>
              </w:rPr>
              <w:t>(SC)</w:t>
            </w:r>
            <w:r w:rsidRPr="00466BCB">
              <w:rPr>
                <w:rFonts w:eastAsia="標楷體" w:hAnsi="標楷體"/>
                <w:kern w:val="0"/>
                <w:sz w:val="20"/>
                <w:szCs w:val="20"/>
              </w:rPr>
              <w:t>及少數股東守門人團體</w:t>
            </w:r>
            <w:r w:rsidRPr="00466BCB">
              <w:rPr>
                <w:rFonts w:eastAsia="標楷體"/>
                <w:kern w:val="0"/>
                <w:sz w:val="20"/>
                <w:szCs w:val="20"/>
              </w:rPr>
              <w:t>(MSWG)</w:t>
            </w:r>
          </w:p>
        </w:tc>
        <w:tc>
          <w:tcPr>
            <w:tcW w:w="2835" w:type="dxa"/>
            <w:vAlign w:val="center"/>
          </w:tcPr>
          <w:p w:rsidR="00106D17" w:rsidRDefault="004E146F">
            <w:pPr>
              <w:jc w:val="center"/>
              <w:rPr>
                <w:rFonts w:eastAsia="標楷體"/>
                <w:sz w:val="20"/>
                <w:szCs w:val="20"/>
              </w:rPr>
            </w:pPr>
            <w:r w:rsidRPr="00466BCB">
              <w:rPr>
                <w:rFonts w:eastAsia="標楷體"/>
                <w:sz w:val="20"/>
                <w:szCs w:val="20"/>
              </w:rPr>
              <w:t>Malaysian Code for Institutional Investors</w:t>
            </w:r>
          </w:p>
        </w:tc>
        <w:tc>
          <w:tcPr>
            <w:tcW w:w="1985" w:type="dxa"/>
            <w:vAlign w:val="center"/>
          </w:tcPr>
          <w:p w:rsidR="00106D17" w:rsidRDefault="004E146F">
            <w:pPr>
              <w:keepNext/>
              <w:jc w:val="center"/>
              <w:rPr>
                <w:rFonts w:eastAsia="標楷體" w:hAnsi="標楷體"/>
                <w:sz w:val="20"/>
                <w:szCs w:val="20"/>
              </w:rPr>
            </w:pPr>
            <w:r w:rsidRPr="00466BCB">
              <w:rPr>
                <w:rFonts w:eastAsia="標楷體" w:hAnsi="標楷體"/>
                <w:sz w:val="20"/>
                <w:szCs w:val="20"/>
              </w:rPr>
              <w:t>資產所有人、</w:t>
            </w:r>
          </w:p>
          <w:p w:rsidR="00106D17" w:rsidRDefault="004E146F">
            <w:pPr>
              <w:keepNext/>
              <w:jc w:val="center"/>
              <w:rPr>
                <w:rFonts w:eastAsia="標楷體"/>
                <w:sz w:val="20"/>
                <w:szCs w:val="20"/>
              </w:rPr>
            </w:pPr>
            <w:r w:rsidRPr="00466BCB">
              <w:rPr>
                <w:rFonts w:eastAsia="標楷體" w:hAnsi="標楷體"/>
                <w:sz w:val="20"/>
                <w:szCs w:val="20"/>
              </w:rPr>
              <w:t>資產管理人</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1A39A4">
              <w:rPr>
                <w:rFonts w:eastAsia="標楷體" w:hAnsi="標楷體"/>
                <w:sz w:val="20"/>
                <w:szCs w:val="20"/>
              </w:rPr>
              <w:t>遵循或解釋</w:t>
            </w:r>
          </w:p>
        </w:tc>
      </w:tr>
      <w:tr w:rsidR="00AC0905" w:rsidRPr="00466BCB" w:rsidTr="00447E39">
        <w:tc>
          <w:tcPr>
            <w:tcW w:w="1135" w:type="dxa"/>
            <w:vAlign w:val="center"/>
          </w:tcPr>
          <w:p w:rsidR="00106D17" w:rsidRDefault="004E146F">
            <w:pPr>
              <w:jc w:val="center"/>
              <w:rPr>
                <w:rFonts w:eastAsia="標楷體" w:hAnsi="標楷體"/>
                <w:b/>
              </w:rPr>
            </w:pPr>
            <w:r w:rsidRPr="00466BCB">
              <w:rPr>
                <w:rFonts w:eastAsia="標楷體" w:hAnsi="標楷體"/>
                <w:b/>
              </w:rPr>
              <w:t>香港</w:t>
            </w:r>
          </w:p>
          <w:p w:rsidR="00106D17" w:rsidRDefault="004E146F">
            <w:pPr>
              <w:jc w:val="center"/>
              <w:rPr>
                <w:rFonts w:eastAsia="標楷體"/>
                <w:b/>
              </w:rPr>
            </w:pPr>
            <w:r>
              <w:rPr>
                <w:rFonts w:eastAsia="標楷體" w:hAnsi="標楷體" w:hint="eastAsia"/>
                <w:b/>
              </w:rPr>
              <w:t>(</w:t>
            </w:r>
            <w:r>
              <w:rPr>
                <w:rFonts w:eastAsia="標楷體" w:hAnsi="標楷體" w:hint="eastAsia"/>
                <w:b/>
              </w:rPr>
              <w:t>草案</w:t>
            </w:r>
            <w:r>
              <w:rPr>
                <w:rFonts w:eastAsia="標楷體" w:hAnsi="標楷體" w:hint="eastAsia"/>
                <w:b/>
              </w:rPr>
              <w:t>)</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466BCB">
              <w:rPr>
                <w:rFonts w:eastAsia="標楷體" w:hAnsi="標楷體"/>
                <w:sz w:val="20"/>
                <w:szCs w:val="20"/>
              </w:rPr>
              <w:t>香港</w:t>
            </w:r>
            <w:r w:rsidRPr="00466BCB">
              <w:rPr>
                <w:rFonts w:eastAsia="標楷體" w:hAnsi="標楷體"/>
                <w:color w:val="1A1A1A"/>
                <w:kern w:val="0"/>
                <w:sz w:val="20"/>
                <w:szCs w:val="20"/>
              </w:rPr>
              <w:t>證券及期貨事務監察委員會（</w:t>
            </w:r>
            <w:r w:rsidRPr="00466BCB">
              <w:rPr>
                <w:rFonts w:eastAsia="標楷體"/>
                <w:sz w:val="20"/>
                <w:szCs w:val="20"/>
              </w:rPr>
              <w:t>SFC</w:t>
            </w:r>
            <w:r w:rsidRPr="00466BCB">
              <w:rPr>
                <w:rFonts w:eastAsia="標楷體" w:hAnsi="標楷體"/>
                <w:color w:val="1A1A1A"/>
                <w:kern w:val="0"/>
                <w:sz w:val="20"/>
                <w:szCs w:val="20"/>
              </w:rPr>
              <w:t>）</w:t>
            </w:r>
          </w:p>
        </w:tc>
        <w:tc>
          <w:tcPr>
            <w:tcW w:w="2835" w:type="dxa"/>
            <w:vAlign w:val="center"/>
          </w:tcPr>
          <w:p w:rsidR="00106D17" w:rsidRDefault="004E146F" w:rsidP="00A87568">
            <w:pPr>
              <w:tabs>
                <w:tab w:val="left" w:pos="2565"/>
              </w:tabs>
              <w:spacing w:beforeLines="50" w:afterLines="50"/>
              <w:jc w:val="center"/>
              <w:rPr>
                <w:rFonts w:eastAsia="標楷體"/>
                <w:sz w:val="20"/>
                <w:szCs w:val="20"/>
              </w:rPr>
            </w:pPr>
            <w:r w:rsidRPr="00466BCB">
              <w:rPr>
                <w:rFonts w:eastAsia="標楷體" w:hAnsi="標楷體"/>
                <w:kern w:val="0"/>
                <w:sz w:val="20"/>
                <w:szCs w:val="20"/>
              </w:rPr>
              <w:t>負責任的擁有權原則</w:t>
            </w:r>
          </w:p>
        </w:tc>
        <w:tc>
          <w:tcPr>
            <w:tcW w:w="1985" w:type="dxa"/>
            <w:vAlign w:val="center"/>
          </w:tcPr>
          <w:p w:rsidR="00106D17" w:rsidRDefault="004E146F">
            <w:pPr>
              <w:keepNext/>
              <w:jc w:val="center"/>
              <w:rPr>
                <w:rFonts w:eastAsia="標楷體" w:hAnsi="標楷體"/>
                <w:sz w:val="20"/>
                <w:szCs w:val="20"/>
              </w:rPr>
            </w:pPr>
            <w:r w:rsidRPr="00466BCB">
              <w:rPr>
                <w:rFonts w:eastAsia="標楷體" w:hAnsi="標楷體"/>
                <w:sz w:val="20"/>
                <w:szCs w:val="20"/>
              </w:rPr>
              <w:t>資產所有人、</w:t>
            </w:r>
          </w:p>
          <w:p w:rsidR="00106D17" w:rsidRDefault="004E146F">
            <w:pPr>
              <w:keepNext/>
              <w:jc w:val="center"/>
              <w:rPr>
                <w:rFonts w:eastAsia="標楷體"/>
                <w:sz w:val="20"/>
                <w:szCs w:val="20"/>
              </w:rPr>
            </w:pPr>
            <w:r w:rsidRPr="00466BCB">
              <w:rPr>
                <w:rFonts w:eastAsia="標楷體" w:hAnsi="標楷體"/>
                <w:sz w:val="20"/>
                <w:szCs w:val="20"/>
              </w:rPr>
              <w:t>資產管理人</w:t>
            </w:r>
          </w:p>
        </w:tc>
        <w:tc>
          <w:tcPr>
            <w:tcW w:w="1559" w:type="dxa"/>
            <w:vAlign w:val="center"/>
          </w:tcPr>
          <w:p w:rsidR="00106D17" w:rsidRDefault="004E146F" w:rsidP="00A87568">
            <w:pPr>
              <w:tabs>
                <w:tab w:val="left" w:pos="2565"/>
              </w:tabs>
              <w:spacing w:beforeLines="50" w:afterLines="50"/>
              <w:jc w:val="center"/>
              <w:rPr>
                <w:rFonts w:eastAsia="標楷體"/>
                <w:sz w:val="20"/>
                <w:szCs w:val="20"/>
              </w:rPr>
            </w:pPr>
            <w:r w:rsidRPr="001A39A4">
              <w:rPr>
                <w:rFonts w:eastAsia="標楷體" w:hAnsi="標楷體"/>
                <w:sz w:val="20"/>
                <w:szCs w:val="20"/>
              </w:rPr>
              <w:t>遵循或解釋</w:t>
            </w:r>
          </w:p>
        </w:tc>
      </w:tr>
      <w:tr w:rsidR="00AC0905" w:rsidRPr="00466BCB" w:rsidTr="00447E39">
        <w:trPr>
          <w:trHeight w:val="833"/>
        </w:trPr>
        <w:tc>
          <w:tcPr>
            <w:tcW w:w="1135" w:type="dxa"/>
            <w:vAlign w:val="center"/>
          </w:tcPr>
          <w:p w:rsidR="00106D17" w:rsidRDefault="00440374">
            <w:pPr>
              <w:jc w:val="center"/>
              <w:rPr>
                <w:rFonts w:eastAsia="標楷體" w:hAnsi="標楷體"/>
                <w:b/>
              </w:rPr>
            </w:pPr>
            <w:r>
              <w:rPr>
                <w:rFonts w:eastAsia="標楷體" w:hAnsi="標楷體" w:hint="eastAsia"/>
                <w:b/>
              </w:rPr>
              <w:t>臺灣</w:t>
            </w:r>
          </w:p>
          <w:p w:rsidR="00106D17" w:rsidRDefault="00440374">
            <w:pPr>
              <w:jc w:val="center"/>
              <w:rPr>
                <w:rFonts w:eastAsia="標楷體" w:hAnsi="標楷體"/>
                <w:b/>
              </w:rPr>
            </w:pPr>
            <w:r>
              <w:rPr>
                <w:rFonts w:eastAsia="標楷體" w:hAnsi="標楷體" w:hint="eastAsia"/>
                <w:b/>
              </w:rPr>
              <w:t>(</w:t>
            </w:r>
            <w:r>
              <w:rPr>
                <w:rFonts w:eastAsia="標楷體" w:hAnsi="標楷體" w:hint="eastAsia"/>
                <w:b/>
              </w:rPr>
              <w:t>草案</w:t>
            </w:r>
            <w:r>
              <w:rPr>
                <w:rFonts w:eastAsia="標楷體" w:hAnsi="標楷體" w:hint="eastAsia"/>
                <w:b/>
              </w:rPr>
              <w:t>)</w:t>
            </w:r>
          </w:p>
        </w:tc>
        <w:tc>
          <w:tcPr>
            <w:tcW w:w="1559" w:type="dxa"/>
            <w:vAlign w:val="center"/>
          </w:tcPr>
          <w:p w:rsidR="00106D17" w:rsidRDefault="00810ED3" w:rsidP="00A87568">
            <w:pPr>
              <w:tabs>
                <w:tab w:val="left" w:pos="2565"/>
              </w:tabs>
              <w:spacing w:beforeLines="50" w:afterLines="50"/>
              <w:jc w:val="center"/>
              <w:rPr>
                <w:rFonts w:eastAsia="標楷體" w:hAnsi="標楷體"/>
                <w:sz w:val="20"/>
                <w:szCs w:val="20"/>
              </w:rPr>
            </w:pPr>
            <w:r>
              <w:rPr>
                <w:rFonts w:eastAsia="標楷體" w:hAnsi="標楷體" w:hint="eastAsia"/>
                <w:sz w:val="20"/>
                <w:szCs w:val="20"/>
              </w:rPr>
              <w:t>公司治理中心</w:t>
            </w:r>
          </w:p>
        </w:tc>
        <w:tc>
          <w:tcPr>
            <w:tcW w:w="2835" w:type="dxa"/>
            <w:vAlign w:val="center"/>
          </w:tcPr>
          <w:p w:rsidR="00106D17" w:rsidRDefault="00810ED3" w:rsidP="00A87568">
            <w:pPr>
              <w:tabs>
                <w:tab w:val="left" w:pos="2565"/>
              </w:tabs>
              <w:spacing w:beforeLines="50" w:afterLines="50"/>
              <w:jc w:val="center"/>
              <w:rPr>
                <w:rFonts w:eastAsia="標楷體" w:hAnsi="標楷體"/>
                <w:kern w:val="0"/>
                <w:sz w:val="20"/>
                <w:szCs w:val="20"/>
              </w:rPr>
            </w:pPr>
            <w:r>
              <w:rPr>
                <w:rFonts w:eastAsia="標楷體" w:hAnsi="標楷體" w:hint="eastAsia"/>
                <w:kern w:val="0"/>
                <w:sz w:val="20"/>
                <w:szCs w:val="20"/>
              </w:rPr>
              <w:t>機構投資人盡責管理守則</w:t>
            </w:r>
          </w:p>
        </w:tc>
        <w:tc>
          <w:tcPr>
            <w:tcW w:w="1985" w:type="dxa"/>
            <w:vAlign w:val="center"/>
          </w:tcPr>
          <w:p w:rsidR="00106D17" w:rsidRDefault="00810ED3">
            <w:pPr>
              <w:keepNext/>
              <w:jc w:val="center"/>
              <w:rPr>
                <w:rFonts w:eastAsia="標楷體" w:hAnsi="標楷體"/>
                <w:sz w:val="20"/>
                <w:szCs w:val="20"/>
              </w:rPr>
            </w:pPr>
            <w:r w:rsidRPr="00466BCB">
              <w:rPr>
                <w:rFonts w:eastAsia="標楷體" w:hAnsi="標楷體"/>
                <w:sz w:val="20"/>
                <w:szCs w:val="20"/>
              </w:rPr>
              <w:t>資產所有人、</w:t>
            </w:r>
          </w:p>
          <w:p w:rsidR="00106D17" w:rsidRDefault="00810ED3">
            <w:pPr>
              <w:keepNext/>
              <w:jc w:val="center"/>
              <w:rPr>
                <w:rFonts w:eastAsia="標楷體" w:hAnsi="標楷體"/>
                <w:sz w:val="20"/>
                <w:szCs w:val="20"/>
              </w:rPr>
            </w:pPr>
            <w:r w:rsidRPr="00466BCB">
              <w:rPr>
                <w:rFonts w:eastAsia="標楷體" w:hAnsi="標楷體"/>
                <w:sz w:val="20"/>
                <w:szCs w:val="20"/>
              </w:rPr>
              <w:t>資產管理人</w:t>
            </w:r>
          </w:p>
        </w:tc>
        <w:tc>
          <w:tcPr>
            <w:tcW w:w="1559" w:type="dxa"/>
            <w:vAlign w:val="center"/>
          </w:tcPr>
          <w:p w:rsidR="00106D17" w:rsidRDefault="00810ED3" w:rsidP="00A87568">
            <w:pPr>
              <w:tabs>
                <w:tab w:val="left" w:pos="2565"/>
              </w:tabs>
              <w:spacing w:beforeLines="50" w:afterLines="50"/>
              <w:jc w:val="center"/>
              <w:rPr>
                <w:rFonts w:eastAsia="標楷體" w:hAnsi="標楷體"/>
                <w:sz w:val="20"/>
                <w:szCs w:val="20"/>
              </w:rPr>
            </w:pPr>
            <w:r w:rsidRPr="00466BCB">
              <w:rPr>
                <w:rFonts w:eastAsia="標楷體" w:hAnsi="標楷體"/>
                <w:sz w:val="20"/>
                <w:szCs w:val="20"/>
              </w:rPr>
              <w:t>遵循或解釋</w:t>
            </w:r>
          </w:p>
        </w:tc>
      </w:tr>
    </w:tbl>
    <w:tbl>
      <w:tblPr>
        <w:tblpPr w:leftFromText="180" w:rightFromText="180" w:vertAnchor="text" w:horzAnchor="margin" w:tblpX="-318" w:tblpY="16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975"/>
        <w:gridCol w:w="975"/>
        <w:gridCol w:w="975"/>
        <w:gridCol w:w="975"/>
        <w:gridCol w:w="975"/>
      </w:tblGrid>
      <w:tr w:rsidR="00005259" w:rsidRPr="00466BCB" w:rsidTr="00005259">
        <w:tc>
          <w:tcPr>
            <w:tcW w:w="4164" w:type="dxa"/>
            <w:tcBorders>
              <w:tl2br w:val="single" w:sz="4" w:space="0" w:color="auto"/>
            </w:tcBorders>
          </w:tcPr>
          <w:p w:rsidR="00602C34" w:rsidRPr="00466BCB" w:rsidRDefault="00602C34" w:rsidP="00005259">
            <w:pPr>
              <w:snapToGrid w:val="0"/>
              <w:rPr>
                <w:rFonts w:eastAsia="標楷體"/>
                <w:b/>
              </w:rPr>
            </w:pPr>
            <w:r w:rsidRPr="00466BCB">
              <w:rPr>
                <w:rFonts w:eastAsia="標楷體"/>
                <w:b/>
              </w:rPr>
              <w:t xml:space="preserve">                         </w:t>
            </w:r>
            <w:r w:rsidRPr="00466BCB">
              <w:rPr>
                <w:rFonts w:eastAsia="標楷體" w:hAnsi="標楷體"/>
                <w:b/>
              </w:rPr>
              <w:t>國家</w:t>
            </w:r>
          </w:p>
          <w:p w:rsidR="00602C34" w:rsidRPr="00466BCB" w:rsidRDefault="00602C34" w:rsidP="00005259">
            <w:pPr>
              <w:snapToGrid w:val="0"/>
              <w:rPr>
                <w:rFonts w:eastAsia="標楷體"/>
                <w:b/>
              </w:rPr>
            </w:pPr>
            <w:r w:rsidRPr="00466BCB">
              <w:rPr>
                <w:rFonts w:eastAsia="標楷體" w:hAnsi="標楷體"/>
                <w:b/>
              </w:rPr>
              <w:t>守則之基本原則</w:t>
            </w:r>
          </w:p>
        </w:tc>
        <w:tc>
          <w:tcPr>
            <w:tcW w:w="975" w:type="dxa"/>
            <w:vAlign w:val="center"/>
          </w:tcPr>
          <w:p w:rsidR="00602C34" w:rsidRPr="00466BCB" w:rsidRDefault="00602C34" w:rsidP="00005259">
            <w:pPr>
              <w:jc w:val="center"/>
              <w:rPr>
                <w:rFonts w:eastAsia="標楷體"/>
                <w:b/>
              </w:rPr>
            </w:pPr>
            <w:r w:rsidRPr="00466BCB">
              <w:rPr>
                <w:rFonts w:eastAsia="標楷體" w:hAnsi="標楷體"/>
                <w:b/>
              </w:rPr>
              <w:t>英國</w:t>
            </w:r>
          </w:p>
        </w:tc>
        <w:tc>
          <w:tcPr>
            <w:tcW w:w="975" w:type="dxa"/>
            <w:vAlign w:val="center"/>
          </w:tcPr>
          <w:p w:rsidR="00602C34" w:rsidRPr="00466BCB" w:rsidRDefault="00602C34" w:rsidP="00005259">
            <w:pPr>
              <w:jc w:val="center"/>
              <w:rPr>
                <w:rFonts w:eastAsia="標楷體"/>
                <w:b/>
              </w:rPr>
            </w:pPr>
            <w:r w:rsidRPr="00466BCB">
              <w:rPr>
                <w:rFonts w:eastAsia="標楷體" w:hAnsi="標楷體"/>
                <w:b/>
              </w:rPr>
              <w:t>日本</w:t>
            </w:r>
          </w:p>
        </w:tc>
        <w:tc>
          <w:tcPr>
            <w:tcW w:w="975" w:type="dxa"/>
            <w:vAlign w:val="center"/>
          </w:tcPr>
          <w:p w:rsidR="00005259" w:rsidRDefault="00602C34" w:rsidP="00005259">
            <w:pPr>
              <w:jc w:val="center"/>
              <w:rPr>
                <w:rFonts w:eastAsia="標楷體" w:hAnsi="標楷體"/>
                <w:b/>
              </w:rPr>
            </w:pPr>
            <w:r w:rsidRPr="00466BCB">
              <w:rPr>
                <w:rFonts w:eastAsia="標楷體" w:hAnsi="標楷體"/>
                <w:b/>
              </w:rPr>
              <w:t>馬來</w:t>
            </w:r>
          </w:p>
          <w:p w:rsidR="00602C34" w:rsidRPr="00466BCB" w:rsidRDefault="00602C34" w:rsidP="00005259">
            <w:pPr>
              <w:jc w:val="center"/>
              <w:rPr>
                <w:rFonts w:eastAsia="標楷體" w:hAnsi="標楷體"/>
                <w:b/>
              </w:rPr>
            </w:pPr>
            <w:r w:rsidRPr="00466BCB">
              <w:rPr>
                <w:rFonts w:eastAsia="標楷體" w:hAnsi="標楷體"/>
                <w:b/>
              </w:rPr>
              <w:t>西亞</w:t>
            </w:r>
          </w:p>
        </w:tc>
        <w:tc>
          <w:tcPr>
            <w:tcW w:w="975" w:type="dxa"/>
            <w:vAlign w:val="center"/>
          </w:tcPr>
          <w:p w:rsidR="00602C34" w:rsidRPr="00466BCB" w:rsidRDefault="00602C34" w:rsidP="00005259">
            <w:pPr>
              <w:jc w:val="center"/>
              <w:rPr>
                <w:rFonts w:eastAsia="標楷體"/>
                <w:b/>
              </w:rPr>
            </w:pPr>
            <w:r w:rsidRPr="00466BCB">
              <w:rPr>
                <w:rFonts w:eastAsia="標楷體" w:hAnsi="標楷體"/>
                <w:b/>
              </w:rPr>
              <w:t>香港</w:t>
            </w:r>
          </w:p>
        </w:tc>
        <w:tc>
          <w:tcPr>
            <w:tcW w:w="975" w:type="dxa"/>
            <w:vAlign w:val="center"/>
          </w:tcPr>
          <w:p w:rsidR="00602C34" w:rsidRPr="00466BCB" w:rsidRDefault="00602C34" w:rsidP="00005259">
            <w:pPr>
              <w:jc w:val="center"/>
              <w:rPr>
                <w:rFonts w:eastAsia="標楷體" w:hAnsi="標楷體"/>
                <w:b/>
              </w:rPr>
            </w:pPr>
            <w:r>
              <w:rPr>
                <w:rFonts w:eastAsia="標楷體" w:hAnsi="標楷體" w:hint="eastAsia"/>
                <w:b/>
              </w:rPr>
              <w:t>臺灣</w:t>
            </w:r>
          </w:p>
        </w:tc>
      </w:tr>
      <w:tr w:rsidR="00005259" w:rsidRPr="00466BCB" w:rsidTr="00005259">
        <w:trPr>
          <w:trHeight w:val="217"/>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公開揭露如何盡責管理的政策；</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r>
      <w:tr w:rsidR="00005259" w:rsidRPr="00466BCB" w:rsidTr="00005259">
        <w:trPr>
          <w:trHeight w:val="720"/>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就處理</w:t>
            </w:r>
            <w:proofErr w:type="gramStart"/>
            <w:r w:rsidRPr="00602C34">
              <w:rPr>
                <w:rFonts w:eastAsia="標楷體" w:hAnsi="標楷體"/>
                <w:b/>
                <w:sz w:val="20"/>
                <w:szCs w:val="20"/>
              </w:rPr>
              <w:t>責</w:t>
            </w:r>
            <w:proofErr w:type="gramEnd"/>
            <w:r w:rsidRPr="00602C34">
              <w:rPr>
                <w:rFonts w:eastAsia="標楷體" w:hAnsi="標楷體"/>
                <w:b/>
                <w:sz w:val="20"/>
                <w:szCs w:val="20"/>
              </w:rPr>
              <w:t>守則的利益衝突制訂積極的政策並揭露之</w:t>
            </w:r>
            <w:r w:rsidRPr="00602C34">
              <w:rPr>
                <w:rFonts w:eastAsia="標楷體"/>
                <w:b/>
                <w:sz w:val="20"/>
                <w:szCs w:val="20"/>
              </w:rPr>
              <w:t xml:space="preserve">; </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r>
      <w:tr w:rsidR="00005259" w:rsidRPr="00466BCB" w:rsidTr="00005259">
        <w:trPr>
          <w:trHeight w:val="347"/>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監督其所投資公司</w:t>
            </w:r>
            <w:r w:rsidRPr="00602C34">
              <w:rPr>
                <w:rFonts w:eastAsia="標楷體"/>
                <w:b/>
                <w:sz w:val="20"/>
                <w:szCs w:val="20"/>
              </w:rPr>
              <w:t>;</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r>
      <w:tr w:rsidR="00005259" w:rsidRPr="00466BCB" w:rsidTr="00005259">
        <w:trPr>
          <w:trHeight w:val="708"/>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制</w:t>
            </w:r>
            <w:r w:rsidRPr="00602C34">
              <w:rPr>
                <w:rFonts w:eastAsia="標楷體" w:hAnsi="標楷體" w:hint="eastAsia"/>
                <w:b/>
                <w:sz w:val="20"/>
                <w:szCs w:val="20"/>
              </w:rPr>
              <w:t>定</w:t>
            </w:r>
            <w:r w:rsidRPr="00602C34">
              <w:rPr>
                <w:rFonts w:eastAsia="標楷體" w:hAnsi="標楷體"/>
                <w:b/>
                <w:sz w:val="20"/>
                <w:szCs w:val="20"/>
              </w:rPr>
              <w:t>清晰指引，說明何時及如何增加盡責管理活動的程度，以保障及提升股東價值</w:t>
            </w:r>
            <w:r w:rsidRPr="00602C34">
              <w:rPr>
                <w:rFonts w:eastAsia="標楷體"/>
                <w:b/>
                <w:sz w:val="20"/>
                <w:szCs w:val="20"/>
              </w:rPr>
              <w:t xml:space="preserve">; </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r>
      <w:tr w:rsidR="00005259" w:rsidRPr="00466BCB" w:rsidTr="00005259">
        <w:trPr>
          <w:trHeight w:val="265"/>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在適當時機願意與其他投資人共同行動；</w:t>
            </w:r>
            <w:r w:rsidRPr="00602C34">
              <w:rPr>
                <w:rFonts w:eastAsia="標楷體"/>
                <w:b/>
                <w:sz w:val="20"/>
                <w:szCs w:val="20"/>
              </w:rPr>
              <w:t xml:space="preserve"> </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否</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否</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否</w:t>
            </w:r>
          </w:p>
        </w:tc>
      </w:tr>
      <w:tr w:rsidR="00005259" w:rsidRPr="00466BCB" w:rsidTr="00005259">
        <w:trPr>
          <w:trHeight w:val="171"/>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建立明確的投票政策並揭露其投票活動；</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r>
      <w:tr w:rsidR="00005259" w:rsidRPr="00466BCB" w:rsidTr="00005259">
        <w:trPr>
          <w:trHeight w:val="265"/>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定期對盡責管理及投票活動提出報告</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有</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有</w:t>
            </w:r>
          </w:p>
        </w:tc>
      </w:tr>
      <w:tr w:rsidR="00005259" w:rsidRPr="00466BCB" w:rsidTr="00005259">
        <w:trPr>
          <w:trHeight w:val="275"/>
        </w:trPr>
        <w:tc>
          <w:tcPr>
            <w:tcW w:w="4164" w:type="dxa"/>
            <w:vAlign w:val="center"/>
          </w:tcPr>
          <w:p w:rsidR="00602C34" w:rsidRPr="00602C34" w:rsidRDefault="00602C34" w:rsidP="00005259">
            <w:pPr>
              <w:pStyle w:val="a3"/>
              <w:numPr>
                <w:ilvl w:val="0"/>
                <w:numId w:val="4"/>
              </w:numPr>
              <w:ind w:leftChars="0"/>
              <w:jc w:val="both"/>
              <w:rPr>
                <w:rFonts w:eastAsia="標楷體"/>
                <w:b/>
                <w:sz w:val="20"/>
                <w:szCs w:val="20"/>
              </w:rPr>
            </w:pPr>
            <w:r w:rsidRPr="00602C34">
              <w:rPr>
                <w:rFonts w:eastAsia="標楷體" w:hAnsi="標楷體"/>
                <w:b/>
                <w:sz w:val="20"/>
                <w:szCs w:val="20"/>
              </w:rPr>
              <w:t>應考量永續發展</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否</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否</w:t>
            </w:r>
          </w:p>
        </w:tc>
        <w:tc>
          <w:tcPr>
            <w:tcW w:w="975" w:type="dxa"/>
          </w:tcPr>
          <w:p w:rsidR="00602C34" w:rsidRPr="00602C34" w:rsidRDefault="00602C34" w:rsidP="00005259">
            <w:pPr>
              <w:keepNext/>
              <w:jc w:val="center"/>
              <w:rPr>
                <w:rFonts w:eastAsia="標楷體" w:hAnsi="標楷體"/>
                <w:sz w:val="20"/>
                <w:szCs w:val="20"/>
              </w:rPr>
            </w:pPr>
            <w:r w:rsidRPr="00602C34">
              <w:rPr>
                <w:rFonts w:eastAsia="標楷體" w:hAnsi="標楷體" w:hint="eastAsia"/>
                <w:sz w:val="20"/>
                <w:szCs w:val="20"/>
              </w:rPr>
              <w:t>有</w:t>
            </w:r>
          </w:p>
        </w:tc>
        <w:tc>
          <w:tcPr>
            <w:tcW w:w="975" w:type="dxa"/>
            <w:vAlign w:val="center"/>
          </w:tcPr>
          <w:p w:rsidR="00602C34" w:rsidRPr="00602C34" w:rsidRDefault="00602C34" w:rsidP="00005259">
            <w:pPr>
              <w:keepNext/>
              <w:jc w:val="center"/>
              <w:rPr>
                <w:rFonts w:eastAsia="標楷體"/>
                <w:sz w:val="20"/>
                <w:szCs w:val="20"/>
              </w:rPr>
            </w:pPr>
            <w:r w:rsidRPr="00602C34">
              <w:rPr>
                <w:rFonts w:eastAsia="標楷體" w:hAnsi="標楷體"/>
                <w:sz w:val="20"/>
                <w:szCs w:val="20"/>
              </w:rPr>
              <w:t>否</w:t>
            </w:r>
          </w:p>
        </w:tc>
        <w:tc>
          <w:tcPr>
            <w:tcW w:w="975" w:type="dxa"/>
            <w:vAlign w:val="center"/>
          </w:tcPr>
          <w:p w:rsidR="00602C34" w:rsidRPr="00602C34" w:rsidRDefault="00602C34" w:rsidP="00005259">
            <w:pPr>
              <w:keepNext/>
              <w:jc w:val="center"/>
              <w:rPr>
                <w:rFonts w:eastAsia="標楷體" w:hAnsi="標楷體"/>
                <w:sz w:val="20"/>
                <w:szCs w:val="20"/>
              </w:rPr>
            </w:pPr>
            <w:r w:rsidRPr="00602C34">
              <w:rPr>
                <w:rFonts w:eastAsia="標楷體" w:hAnsi="標楷體"/>
                <w:sz w:val="20"/>
                <w:szCs w:val="20"/>
              </w:rPr>
              <w:t>否</w:t>
            </w:r>
          </w:p>
        </w:tc>
      </w:tr>
    </w:tbl>
    <w:p w:rsidR="00106D17" w:rsidRDefault="00106D17" w:rsidP="00A87568">
      <w:pPr>
        <w:tabs>
          <w:tab w:val="left" w:pos="2565"/>
        </w:tabs>
        <w:spacing w:beforeLines="50" w:afterLines="50"/>
        <w:rPr>
          <w:rFonts w:eastAsia="標楷體"/>
          <w:sz w:val="16"/>
          <w:szCs w:val="16"/>
        </w:rPr>
      </w:pPr>
    </w:p>
    <w:p w:rsidR="00F00A68" w:rsidRDefault="00F00A68">
      <w:pPr>
        <w:jc w:val="both"/>
        <w:rPr>
          <w:rFonts w:eastAsia="標楷體"/>
        </w:rPr>
      </w:pPr>
    </w:p>
    <w:sectPr w:rsidR="00F00A68" w:rsidSect="008C3DE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BF" w:rsidRDefault="007F22BF" w:rsidP="00C510A2">
      <w:r>
        <w:separator/>
      </w:r>
    </w:p>
  </w:endnote>
  <w:endnote w:type="continuationSeparator" w:id="0">
    <w:p w:rsidR="007F22BF" w:rsidRDefault="007F22BF" w:rsidP="00C5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BF" w:rsidRDefault="007F22BF" w:rsidP="00C510A2">
      <w:r>
        <w:separator/>
      </w:r>
    </w:p>
  </w:footnote>
  <w:footnote w:type="continuationSeparator" w:id="0">
    <w:p w:rsidR="007F22BF" w:rsidRDefault="007F22BF" w:rsidP="00C51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F9B"/>
    <w:multiLevelType w:val="hybridMultilevel"/>
    <w:tmpl w:val="BD76DAA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3C1AA2"/>
    <w:multiLevelType w:val="hybridMultilevel"/>
    <w:tmpl w:val="A64ACFA2"/>
    <w:lvl w:ilvl="0" w:tplc="C5108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B516D02"/>
    <w:multiLevelType w:val="hybridMultilevel"/>
    <w:tmpl w:val="76CC07FE"/>
    <w:lvl w:ilvl="0" w:tplc="9E0A84AE">
      <w:numFmt w:val="bullet"/>
      <w:lvlText w:val="-"/>
      <w:lvlJc w:val="left"/>
      <w:pPr>
        <w:ind w:left="720" w:hanging="360"/>
      </w:pPr>
      <w:rPr>
        <w:rFonts w:ascii="標楷體" w:eastAsia="標楷體" w:hAnsi="標楷體" w:cs="Wingdings"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75E5117E"/>
    <w:multiLevelType w:val="hybridMultilevel"/>
    <w:tmpl w:val="88B4E278"/>
    <w:lvl w:ilvl="0" w:tplc="38DA9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681"/>
    <w:rsid w:val="00005259"/>
    <w:rsid w:val="00011F76"/>
    <w:rsid w:val="00020CE0"/>
    <w:rsid w:val="00020D03"/>
    <w:rsid w:val="00022808"/>
    <w:rsid w:val="00022F35"/>
    <w:rsid w:val="00025DCF"/>
    <w:rsid w:val="000306E4"/>
    <w:rsid w:val="00031FA3"/>
    <w:rsid w:val="00036EB8"/>
    <w:rsid w:val="00043B1E"/>
    <w:rsid w:val="000620CD"/>
    <w:rsid w:val="0006691B"/>
    <w:rsid w:val="0007090E"/>
    <w:rsid w:val="000767DC"/>
    <w:rsid w:val="000B39FA"/>
    <w:rsid w:val="000C2FFF"/>
    <w:rsid w:val="000C7C6A"/>
    <w:rsid w:val="000D2878"/>
    <w:rsid w:val="000D49F0"/>
    <w:rsid w:val="000E01F0"/>
    <w:rsid w:val="000F17C7"/>
    <w:rsid w:val="000F2E5E"/>
    <w:rsid w:val="000F467C"/>
    <w:rsid w:val="000F6F3E"/>
    <w:rsid w:val="00106802"/>
    <w:rsid w:val="00106D17"/>
    <w:rsid w:val="00110325"/>
    <w:rsid w:val="00115302"/>
    <w:rsid w:val="0012735F"/>
    <w:rsid w:val="00135F54"/>
    <w:rsid w:val="00137A43"/>
    <w:rsid w:val="00150364"/>
    <w:rsid w:val="00153AFB"/>
    <w:rsid w:val="001560BE"/>
    <w:rsid w:val="00167587"/>
    <w:rsid w:val="00170782"/>
    <w:rsid w:val="00175BAD"/>
    <w:rsid w:val="00181EC9"/>
    <w:rsid w:val="0019183E"/>
    <w:rsid w:val="001B68E6"/>
    <w:rsid w:val="001C1268"/>
    <w:rsid w:val="001D1752"/>
    <w:rsid w:val="001E6B44"/>
    <w:rsid w:val="001F1FDE"/>
    <w:rsid w:val="00201072"/>
    <w:rsid w:val="00221E21"/>
    <w:rsid w:val="00230690"/>
    <w:rsid w:val="0023580B"/>
    <w:rsid w:val="00236FAF"/>
    <w:rsid w:val="00237E59"/>
    <w:rsid w:val="00242E77"/>
    <w:rsid w:val="002448A0"/>
    <w:rsid w:val="002516F9"/>
    <w:rsid w:val="00251FA8"/>
    <w:rsid w:val="00255077"/>
    <w:rsid w:val="00262820"/>
    <w:rsid w:val="0028033B"/>
    <w:rsid w:val="00282D99"/>
    <w:rsid w:val="002859E4"/>
    <w:rsid w:val="002941B0"/>
    <w:rsid w:val="00295AA9"/>
    <w:rsid w:val="00295EC9"/>
    <w:rsid w:val="00296836"/>
    <w:rsid w:val="002A4D15"/>
    <w:rsid w:val="002B7B2C"/>
    <w:rsid w:val="002C073B"/>
    <w:rsid w:val="002D0930"/>
    <w:rsid w:val="002D42DF"/>
    <w:rsid w:val="002D4FB5"/>
    <w:rsid w:val="002F5C3A"/>
    <w:rsid w:val="0030211A"/>
    <w:rsid w:val="00302D87"/>
    <w:rsid w:val="00310E13"/>
    <w:rsid w:val="00312D00"/>
    <w:rsid w:val="00316B17"/>
    <w:rsid w:val="00326760"/>
    <w:rsid w:val="00345149"/>
    <w:rsid w:val="003474E3"/>
    <w:rsid w:val="00354A67"/>
    <w:rsid w:val="00372926"/>
    <w:rsid w:val="00392A77"/>
    <w:rsid w:val="003936C8"/>
    <w:rsid w:val="00394FCE"/>
    <w:rsid w:val="003A2C31"/>
    <w:rsid w:val="003C12AB"/>
    <w:rsid w:val="003C3A65"/>
    <w:rsid w:val="003C5C13"/>
    <w:rsid w:val="003C5D14"/>
    <w:rsid w:val="003C7882"/>
    <w:rsid w:val="003D21CE"/>
    <w:rsid w:val="003D73F3"/>
    <w:rsid w:val="003E1CAD"/>
    <w:rsid w:val="003E2B86"/>
    <w:rsid w:val="003E6102"/>
    <w:rsid w:val="003E7E1D"/>
    <w:rsid w:val="003F2A7D"/>
    <w:rsid w:val="003F52E7"/>
    <w:rsid w:val="004008D4"/>
    <w:rsid w:val="00405EB8"/>
    <w:rsid w:val="004076F7"/>
    <w:rsid w:val="0041349B"/>
    <w:rsid w:val="0042222F"/>
    <w:rsid w:val="00431000"/>
    <w:rsid w:val="00440374"/>
    <w:rsid w:val="00441681"/>
    <w:rsid w:val="00447E39"/>
    <w:rsid w:val="00452D0B"/>
    <w:rsid w:val="004536E5"/>
    <w:rsid w:val="0046194A"/>
    <w:rsid w:val="00462202"/>
    <w:rsid w:val="004666AC"/>
    <w:rsid w:val="00466BCB"/>
    <w:rsid w:val="0047679A"/>
    <w:rsid w:val="00484B5D"/>
    <w:rsid w:val="00487085"/>
    <w:rsid w:val="00494D00"/>
    <w:rsid w:val="004A07BD"/>
    <w:rsid w:val="004A3C96"/>
    <w:rsid w:val="004A6AE9"/>
    <w:rsid w:val="004B364B"/>
    <w:rsid w:val="004B44FB"/>
    <w:rsid w:val="004C4FA6"/>
    <w:rsid w:val="004D74B6"/>
    <w:rsid w:val="004E146F"/>
    <w:rsid w:val="004E6BB7"/>
    <w:rsid w:val="0051583E"/>
    <w:rsid w:val="00541B00"/>
    <w:rsid w:val="00547594"/>
    <w:rsid w:val="00560D39"/>
    <w:rsid w:val="00561D39"/>
    <w:rsid w:val="0057346E"/>
    <w:rsid w:val="00586F4C"/>
    <w:rsid w:val="005920C4"/>
    <w:rsid w:val="00593DE7"/>
    <w:rsid w:val="005A192B"/>
    <w:rsid w:val="005A2D91"/>
    <w:rsid w:val="005A5DB1"/>
    <w:rsid w:val="005B1047"/>
    <w:rsid w:val="005B1F11"/>
    <w:rsid w:val="005B32F6"/>
    <w:rsid w:val="005D5E2C"/>
    <w:rsid w:val="005E3EFD"/>
    <w:rsid w:val="006000AC"/>
    <w:rsid w:val="0060041F"/>
    <w:rsid w:val="00602C34"/>
    <w:rsid w:val="006120E1"/>
    <w:rsid w:val="006168B0"/>
    <w:rsid w:val="00631A89"/>
    <w:rsid w:val="00636F5E"/>
    <w:rsid w:val="006408FB"/>
    <w:rsid w:val="00652410"/>
    <w:rsid w:val="00654476"/>
    <w:rsid w:val="00655B6E"/>
    <w:rsid w:val="00657DBE"/>
    <w:rsid w:val="00670F5C"/>
    <w:rsid w:val="0068097D"/>
    <w:rsid w:val="0068445E"/>
    <w:rsid w:val="00692927"/>
    <w:rsid w:val="00694599"/>
    <w:rsid w:val="006B6F68"/>
    <w:rsid w:val="006C2A6F"/>
    <w:rsid w:val="006C3265"/>
    <w:rsid w:val="006C4B3C"/>
    <w:rsid w:val="006C7F24"/>
    <w:rsid w:val="006D027A"/>
    <w:rsid w:val="006E2A6D"/>
    <w:rsid w:val="006E5EAA"/>
    <w:rsid w:val="006F6213"/>
    <w:rsid w:val="00703443"/>
    <w:rsid w:val="00716145"/>
    <w:rsid w:val="0072141F"/>
    <w:rsid w:val="00722F1A"/>
    <w:rsid w:val="007239A9"/>
    <w:rsid w:val="007324D6"/>
    <w:rsid w:val="00740CB0"/>
    <w:rsid w:val="0074765E"/>
    <w:rsid w:val="00761FBB"/>
    <w:rsid w:val="00767182"/>
    <w:rsid w:val="00786909"/>
    <w:rsid w:val="0078694A"/>
    <w:rsid w:val="00786BCD"/>
    <w:rsid w:val="007910FA"/>
    <w:rsid w:val="007B222C"/>
    <w:rsid w:val="007D3961"/>
    <w:rsid w:val="007D3F1D"/>
    <w:rsid w:val="007D45B7"/>
    <w:rsid w:val="007D54FD"/>
    <w:rsid w:val="007E1A98"/>
    <w:rsid w:val="007E7DE1"/>
    <w:rsid w:val="007F22BF"/>
    <w:rsid w:val="00801534"/>
    <w:rsid w:val="00810ED3"/>
    <w:rsid w:val="008111FB"/>
    <w:rsid w:val="00811640"/>
    <w:rsid w:val="00811986"/>
    <w:rsid w:val="008127D5"/>
    <w:rsid w:val="00825212"/>
    <w:rsid w:val="00825E53"/>
    <w:rsid w:val="008277FF"/>
    <w:rsid w:val="00835F03"/>
    <w:rsid w:val="00836591"/>
    <w:rsid w:val="00841C94"/>
    <w:rsid w:val="00867048"/>
    <w:rsid w:val="0086786E"/>
    <w:rsid w:val="00870CAA"/>
    <w:rsid w:val="00884969"/>
    <w:rsid w:val="00885D75"/>
    <w:rsid w:val="008A3499"/>
    <w:rsid w:val="008B210D"/>
    <w:rsid w:val="008B26FA"/>
    <w:rsid w:val="008B36C9"/>
    <w:rsid w:val="008B51F9"/>
    <w:rsid w:val="008C37E3"/>
    <w:rsid w:val="008C3DE8"/>
    <w:rsid w:val="008C4A78"/>
    <w:rsid w:val="008C7661"/>
    <w:rsid w:val="008D4E20"/>
    <w:rsid w:val="008D6C39"/>
    <w:rsid w:val="008E0B96"/>
    <w:rsid w:val="008F2D6F"/>
    <w:rsid w:val="008F2F55"/>
    <w:rsid w:val="008F54E6"/>
    <w:rsid w:val="008F73F8"/>
    <w:rsid w:val="00903B53"/>
    <w:rsid w:val="00903C8D"/>
    <w:rsid w:val="0090418C"/>
    <w:rsid w:val="00904E61"/>
    <w:rsid w:val="00911A59"/>
    <w:rsid w:val="00912B75"/>
    <w:rsid w:val="009132FF"/>
    <w:rsid w:val="00913AF0"/>
    <w:rsid w:val="00924056"/>
    <w:rsid w:val="00926EC7"/>
    <w:rsid w:val="00930A58"/>
    <w:rsid w:val="00936F31"/>
    <w:rsid w:val="00937EBE"/>
    <w:rsid w:val="009444C5"/>
    <w:rsid w:val="0094631E"/>
    <w:rsid w:val="0094738E"/>
    <w:rsid w:val="009513CF"/>
    <w:rsid w:val="00954E4E"/>
    <w:rsid w:val="00974591"/>
    <w:rsid w:val="009754D9"/>
    <w:rsid w:val="0097724C"/>
    <w:rsid w:val="00980C7F"/>
    <w:rsid w:val="00982A5E"/>
    <w:rsid w:val="00983AB8"/>
    <w:rsid w:val="00994635"/>
    <w:rsid w:val="009B1B6B"/>
    <w:rsid w:val="009B4870"/>
    <w:rsid w:val="009B5378"/>
    <w:rsid w:val="009C7687"/>
    <w:rsid w:val="009D237B"/>
    <w:rsid w:val="009D4A90"/>
    <w:rsid w:val="009F0058"/>
    <w:rsid w:val="009F3DBF"/>
    <w:rsid w:val="00A12FEC"/>
    <w:rsid w:val="00A14B5C"/>
    <w:rsid w:val="00A206E5"/>
    <w:rsid w:val="00A210BC"/>
    <w:rsid w:val="00A269EB"/>
    <w:rsid w:val="00A271E5"/>
    <w:rsid w:val="00A276E6"/>
    <w:rsid w:val="00A36C94"/>
    <w:rsid w:val="00A54190"/>
    <w:rsid w:val="00A54435"/>
    <w:rsid w:val="00A558B1"/>
    <w:rsid w:val="00A77CD1"/>
    <w:rsid w:val="00A8114F"/>
    <w:rsid w:val="00A84C41"/>
    <w:rsid w:val="00A8636C"/>
    <w:rsid w:val="00A87568"/>
    <w:rsid w:val="00A90C64"/>
    <w:rsid w:val="00A96B15"/>
    <w:rsid w:val="00A96DFB"/>
    <w:rsid w:val="00AA474E"/>
    <w:rsid w:val="00AC0905"/>
    <w:rsid w:val="00AC2A01"/>
    <w:rsid w:val="00AC3E52"/>
    <w:rsid w:val="00AE5A6C"/>
    <w:rsid w:val="00AE72C1"/>
    <w:rsid w:val="00AF0D7E"/>
    <w:rsid w:val="00AF5020"/>
    <w:rsid w:val="00B028C7"/>
    <w:rsid w:val="00B1338E"/>
    <w:rsid w:val="00B35A55"/>
    <w:rsid w:val="00B43473"/>
    <w:rsid w:val="00B47A88"/>
    <w:rsid w:val="00B50D81"/>
    <w:rsid w:val="00B57F87"/>
    <w:rsid w:val="00B66C71"/>
    <w:rsid w:val="00B7534D"/>
    <w:rsid w:val="00B83631"/>
    <w:rsid w:val="00BA0469"/>
    <w:rsid w:val="00BB59CF"/>
    <w:rsid w:val="00BF519A"/>
    <w:rsid w:val="00BF6634"/>
    <w:rsid w:val="00C01E37"/>
    <w:rsid w:val="00C22F53"/>
    <w:rsid w:val="00C510A2"/>
    <w:rsid w:val="00C5308A"/>
    <w:rsid w:val="00C64A5B"/>
    <w:rsid w:val="00C7688A"/>
    <w:rsid w:val="00C77938"/>
    <w:rsid w:val="00C81EE8"/>
    <w:rsid w:val="00C83179"/>
    <w:rsid w:val="00C901EF"/>
    <w:rsid w:val="00C95237"/>
    <w:rsid w:val="00C9624D"/>
    <w:rsid w:val="00CA5720"/>
    <w:rsid w:val="00CD4993"/>
    <w:rsid w:val="00CE71DE"/>
    <w:rsid w:val="00D02A0C"/>
    <w:rsid w:val="00D0382F"/>
    <w:rsid w:val="00D125CF"/>
    <w:rsid w:val="00D15505"/>
    <w:rsid w:val="00D42D89"/>
    <w:rsid w:val="00D44E68"/>
    <w:rsid w:val="00D46EAD"/>
    <w:rsid w:val="00D51AA3"/>
    <w:rsid w:val="00D54120"/>
    <w:rsid w:val="00D60F1D"/>
    <w:rsid w:val="00D61307"/>
    <w:rsid w:val="00D622A0"/>
    <w:rsid w:val="00D6252D"/>
    <w:rsid w:val="00D64239"/>
    <w:rsid w:val="00D71FD9"/>
    <w:rsid w:val="00D85054"/>
    <w:rsid w:val="00D93667"/>
    <w:rsid w:val="00DA067C"/>
    <w:rsid w:val="00DA30DD"/>
    <w:rsid w:val="00DA3135"/>
    <w:rsid w:val="00DB01E0"/>
    <w:rsid w:val="00DB593B"/>
    <w:rsid w:val="00DC36C9"/>
    <w:rsid w:val="00DD11B3"/>
    <w:rsid w:val="00DD12C4"/>
    <w:rsid w:val="00DD39EA"/>
    <w:rsid w:val="00DD7EBA"/>
    <w:rsid w:val="00DF6790"/>
    <w:rsid w:val="00DF712B"/>
    <w:rsid w:val="00E029D5"/>
    <w:rsid w:val="00E02FF0"/>
    <w:rsid w:val="00E14F18"/>
    <w:rsid w:val="00E21BF3"/>
    <w:rsid w:val="00E253EB"/>
    <w:rsid w:val="00E27438"/>
    <w:rsid w:val="00E33B78"/>
    <w:rsid w:val="00E37D59"/>
    <w:rsid w:val="00E41F4A"/>
    <w:rsid w:val="00E4756E"/>
    <w:rsid w:val="00E67D24"/>
    <w:rsid w:val="00E70E7B"/>
    <w:rsid w:val="00E82535"/>
    <w:rsid w:val="00E85EE3"/>
    <w:rsid w:val="00E86CBF"/>
    <w:rsid w:val="00E9661A"/>
    <w:rsid w:val="00E967C4"/>
    <w:rsid w:val="00EA187E"/>
    <w:rsid w:val="00EA79EF"/>
    <w:rsid w:val="00EB187E"/>
    <w:rsid w:val="00EB5C60"/>
    <w:rsid w:val="00EB61F9"/>
    <w:rsid w:val="00EB628E"/>
    <w:rsid w:val="00EB7132"/>
    <w:rsid w:val="00EC7C7E"/>
    <w:rsid w:val="00ED0C15"/>
    <w:rsid w:val="00ED32AF"/>
    <w:rsid w:val="00ED67C2"/>
    <w:rsid w:val="00EE140F"/>
    <w:rsid w:val="00EF3BE1"/>
    <w:rsid w:val="00EF5B22"/>
    <w:rsid w:val="00F00A68"/>
    <w:rsid w:val="00F065BD"/>
    <w:rsid w:val="00F07EFA"/>
    <w:rsid w:val="00F173E0"/>
    <w:rsid w:val="00F20C49"/>
    <w:rsid w:val="00F21979"/>
    <w:rsid w:val="00F64149"/>
    <w:rsid w:val="00F6488B"/>
    <w:rsid w:val="00F66EA2"/>
    <w:rsid w:val="00F75CF1"/>
    <w:rsid w:val="00F84AE5"/>
    <w:rsid w:val="00F9166D"/>
    <w:rsid w:val="00FA6312"/>
    <w:rsid w:val="00FB1924"/>
    <w:rsid w:val="00FB2C9D"/>
    <w:rsid w:val="00FB5F7D"/>
    <w:rsid w:val="00FD79B0"/>
    <w:rsid w:val="00FE2803"/>
    <w:rsid w:val="00FE3B52"/>
    <w:rsid w:val="00FE563F"/>
    <w:rsid w:val="00FE6FA9"/>
    <w:rsid w:val="00FF26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8"/>
    <w:pPr>
      <w:widowControl w:val="0"/>
    </w:pPr>
    <w:rPr>
      <w:kern w:val="2"/>
      <w:sz w:val="24"/>
      <w:szCs w:val="22"/>
    </w:rPr>
  </w:style>
  <w:style w:type="paragraph" w:styleId="3">
    <w:name w:val="heading 3"/>
    <w:basedOn w:val="a"/>
    <w:link w:val="30"/>
    <w:uiPriority w:val="9"/>
    <w:qFormat/>
    <w:rsid w:val="009B487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681"/>
    <w:pPr>
      <w:ind w:leftChars="200" w:left="480"/>
    </w:pPr>
  </w:style>
  <w:style w:type="paragraph" w:styleId="a4">
    <w:name w:val="header"/>
    <w:basedOn w:val="a"/>
    <w:link w:val="a5"/>
    <w:uiPriority w:val="99"/>
    <w:semiHidden/>
    <w:unhideWhenUsed/>
    <w:rsid w:val="00C510A2"/>
    <w:pPr>
      <w:tabs>
        <w:tab w:val="center" w:pos="4153"/>
        <w:tab w:val="right" w:pos="8306"/>
      </w:tabs>
      <w:snapToGrid w:val="0"/>
    </w:pPr>
    <w:rPr>
      <w:sz w:val="20"/>
      <w:szCs w:val="20"/>
    </w:rPr>
  </w:style>
  <w:style w:type="character" w:customStyle="1" w:styleId="a5">
    <w:name w:val="頁首 字元"/>
    <w:basedOn w:val="a0"/>
    <w:link w:val="a4"/>
    <w:uiPriority w:val="99"/>
    <w:semiHidden/>
    <w:rsid w:val="00C510A2"/>
    <w:rPr>
      <w:sz w:val="20"/>
      <w:szCs w:val="20"/>
    </w:rPr>
  </w:style>
  <w:style w:type="paragraph" w:styleId="a6">
    <w:name w:val="footer"/>
    <w:basedOn w:val="a"/>
    <w:link w:val="a7"/>
    <w:uiPriority w:val="99"/>
    <w:semiHidden/>
    <w:unhideWhenUsed/>
    <w:rsid w:val="00C510A2"/>
    <w:pPr>
      <w:tabs>
        <w:tab w:val="center" w:pos="4153"/>
        <w:tab w:val="right" w:pos="8306"/>
      </w:tabs>
      <w:snapToGrid w:val="0"/>
    </w:pPr>
    <w:rPr>
      <w:sz w:val="20"/>
      <w:szCs w:val="20"/>
    </w:rPr>
  </w:style>
  <w:style w:type="character" w:customStyle="1" w:styleId="a7">
    <w:name w:val="頁尾 字元"/>
    <w:basedOn w:val="a0"/>
    <w:link w:val="a6"/>
    <w:uiPriority w:val="99"/>
    <w:semiHidden/>
    <w:rsid w:val="00C510A2"/>
    <w:rPr>
      <w:sz w:val="20"/>
      <w:szCs w:val="20"/>
    </w:rPr>
  </w:style>
  <w:style w:type="paragraph" w:customStyle="1" w:styleId="Default">
    <w:name w:val="Default"/>
    <w:rsid w:val="00345149"/>
    <w:pPr>
      <w:widowControl w:val="0"/>
      <w:autoSpaceDE w:val="0"/>
      <w:autoSpaceDN w:val="0"/>
      <w:adjustRightInd w:val="0"/>
    </w:pPr>
    <w:rPr>
      <w:rFonts w:ascii="新細明體" w:cs="新細明體"/>
      <w:color w:val="000000"/>
      <w:sz w:val="24"/>
      <w:szCs w:val="24"/>
    </w:rPr>
  </w:style>
  <w:style w:type="table" w:styleId="a8">
    <w:name w:val="Table Grid"/>
    <w:basedOn w:val="a1"/>
    <w:uiPriority w:val="59"/>
    <w:rsid w:val="0060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636F5E"/>
    <w:pPr>
      <w:snapToGrid w:val="0"/>
    </w:pPr>
    <w:rPr>
      <w:sz w:val="20"/>
      <w:szCs w:val="20"/>
    </w:rPr>
  </w:style>
  <w:style w:type="character" w:customStyle="1" w:styleId="aa">
    <w:name w:val="註腳文字 字元"/>
    <w:basedOn w:val="a0"/>
    <w:link w:val="a9"/>
    <w:uiPriority w:val="99"/>
    <w:rsid w:val="00636F5E"/>
    <w:rPr>
      <w:sz w:val="20"/>
      <w:szCs w:val="20"/>
    </w:rPr>
  </w:style>
  <w:style w:type="character" w:styleId="ab">
    <w:name w:val="footnote reference"/>
    <w:basedOn w:val="a0"/>
    <w:uiPriority w:val="99"/>
    <w:unhideWhenUsed/>
    <w:rsid w:val="00636F5E"/>
    <w:rPr>
      <w:vertAlign w:val="superscript"/>
    </w:rPr>
  </w:style>
  <w:style w:type="character" w:styleId="ac">
    <w:name w:val="Hyperlink"/>
    <w:basedOn w:val="a0"/>
    <w:uiPriority w:val="99"/>
    <w:unhideWhenUsed/>
    <w:rsid w:val="003E1CAD"/>
    <w:rPr>
      <w:color w:val="0000FF"/>
      <w:u w:val="single"/>
    </w:rPr>
  </w:style>
  <w:style w:type="paragraph" w:styleId="ad">
    <w:name w:val="Balloon Text"/>
    <w:basedOn w:val="a"/>
    <w:link w:val="ae"/>
    <w:uiPriority w:val="99"/>
    <w:semiHidden/>
    <w:unhideWhenUsed/>
    <w:rsid w:val="00D125CF"/>
    <w:rPr>
      <w:rFonts w:ascii="Cambria" w:hAnsi="Cambria"/>
      <w:sz w:val="18"/>
      <w:szCs w:val="18"/>
    </w:rPr>
  </w:style>
  <w:style w:type="character" w:customStyle="1" w:styleId="ae">
    <w:name w:val="註解方塊文字 字元"/>
    <w:basedOn w:val="a0"/>
    <w:link w:val="ad"/>
    <w:uiPriority w:val="99"/>
    <w:semiHidden/>
    <w:rsid w:val="00D125CF"/>
    <w:rPr>
      <w:rFonts w:ascii="Cambria" w:eastAsia="新細明體" w:hAnsi="Cambria" w:cs="Times New Roman"/>
      <w:sz w:val="18"/>
      <w:szCs w:val="18"/>
    </w:rPr>
  </w:style>
  <w:style w:type="character" w:customStyle="1" w:styleId="30">
    <w:name w:val="標題 3 字元"/>
    <w:basedOn w:val="a0"/>
    <w:link w:val="3"/>
    <w:uiPriority w:val="9"/>
    <w:rsid w:val="009B4870"/>
    <w:rPr>
      <w:rFonts w:ascii="新細明體" w:eastAsia="新細明體" w:hAnsi="新細明體" w:cs="新細明體"/>
      <w:b/>
      <w:bCs/>
      <w:kern w:val="0"/>
      <w:sz w:val="27"/>
      <w:szCs w:val="27"/>
    </w:rPr>
  </w:style>
  <w:style w:type="paragraph" w:styleId="af">
    <w:name w:val="Salutation"/>
    <w:basedOn w:val="a"/>
    <w:next w:val="a"/>
    <w:link w:val="af0"/>
    <w:uiPriority w:val="99"/>
    <w:unhideWhenUsed/>
    <w:rsid w:val="00394FCE"/>
    <w:rPr>
      <w:rFonts w:eastAsia="標楷體"/>
    </w:rPr>
  </w:style>
  <w:style w:type="character" w:customStyle="1" w:styleId="af0">
    <w:name w:val="問候 字元"/>
    <w:basedOn w:val="a0"/>
    <w:link w:val="af"/>
    <w:uiPriority w:val="99"/>
    <w:rsid w:val="00394FCE"/>
    <w:rPr>
      <w:rFonts w:eastAsia="標楷體" w:cs="Times New Roman"/>
    </w:rPr>
  </w:style>
  <w:style w:type="paragraph" w:styleId="af1">
    <w:name w:val="Closing"/>
    <w:basedOn w:val="a"/>
    <w:link w:val="af2"/>
    <w:uiPriority w:val="99"/>
    <w:unhideWhenUsed/>
    <w:rsid w:val="00394FCE"/>
    <w:pPr>
      <w:ind w:leftChars="1800" w:left="100"/>
    </w:pPr>
    <w:rPr>
      <w:rFonts w:eastAsia="標楷體"/>
    </w:rPr>
  </w:style>
  <w:style w:type="character" w:customStyle="1" w:styleId="af2">
    <w:name w:val="結語 字元"/>
    <w:basedOn w:val="a0"/>
    <w:link w:val="af1"/>
    <w:uiPriority w:val="99"/>
    <w:rsid w:val="00394FCE"/>
    <w:rPr>
      <w:rFonts w:eastAsia="標楷體" w:cs="Times New Roman"/>
    </w:rPr>
  </w:style>
  <w:style w:type="paragraph" w:styleId="HTML">
    <w:name w:val="HTML Preformatted"/>
    <w:basedOn w:val="a"/>
    <w:link w:val="HTML0"/>
    <w:uiPriority w:val="99"/>
    <w:unhideWhenUsed/>
    <w:rsid w:val="00484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84B5D"/>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498158919">
      <w:bodyDiv w:val="1"/>
      <w:marLeft w:val="0"/>
      <w:marRight w:val="0"/>
      <w:marTop w:val="0"/>
      <w:marBottom w:val="0"/>
      <w:divBdr>
        <w:top w:val="none" w:sz="0" w:space="0" w:color="auto"/>
        <w:left w:val="none" w:sz="0" w:space="0" w:color="auto"/>
        <w:bottom w:val="none" w:sz="0" w:space="0" w:color="auto"/>
        <w:right w:val="none" w:sz="0" w:space="0" w:color="auto"/>
      </w:divBdr>
    </w:div>
    <w:div w:id="576599780">
      <w:bodyDiv w:val="1"/>
      <w:marLeft w:val="0"/>
      <w:marRight w:val="0"/>
      <w:marTop w:val="0"/>
      <w:marBottom w:val="0"/>
      <w:divBdr>
        <w:top w:val="none" w:sz="0" w:space="0" w:color="auto"/>
        <w:left w:val="none" w:sz="0" w:space="0" w:color="auto"/>
        <w:bottom w:val="none" w:sz="0" w:space="0" w:color="auto"/>
        <w:right w:val="none" w:sz="0" w:space="0" w:color="auto"/>
      </w:divBdr>
    </w:div>
    <w:div w:id="815955328">
      <w:bodyDiv w:val="1"/>
      <w:marLeft w:val="0"/>
      <w:marRight w:val="0"/>
      <w:marTop w:val="0"/>
      <w:marBottom w:val="0"/>
      <w:divBdr>
        <w:top w:val="none" w:sz="0" w:space="0" w:color="auto"/>
        <w:left w:val="none" w:sz="0" w:space="0" w:color="auto"/>
        <w:bottom w:val="none" w:sz="0" w:space="0" w:color="auto"/>
        <w:right w:val="none" w:sz="0" w:space="0" w:color="auto"/>
      </w:divBdr>
    </w:div>
    <w:div w:id="1196237364">
      <w:bodyDiv w:val="1"/>
      <w:marLeft w:val="0"/>
      <w:marRight w:val="0"/>
      <w:marTop w:val="0"/>
      <w:marBottom w:val="0"/>
      <w:divBdr>
        <w:top w:val="none" w:sz="0" w:space="0" w:color="auto"/>
        <w:left w:val="none" w:sz="0" w:space="0" w:color="auto"/>
        <w:bottom w:val="none" w:sz="0" w:space="0" w:color="auto"/>
        <w:right w:val="none" w:sz="0" w:space="0" w:color="auto"/>
      </w:divBdr>
    </w:div>
    <w:div w:id="1370111671">
      <w:bodyDiv w:val="1"/>
      <w:marLeft w:val="0"/>
      <w:marRight w:val="0"/>
      <w:marTop w:val="0"/>
      <w:marBottom w:val="0"/>
      <w:divBdr>
        <w:top w:val="none" w:sz="0" w:space="0" w:color="auto"/>
        <w:left w:val="none" w:sz="0" w:space="0" w:color="auto"/>
        <w:bottom w:val="none" w:sz="0" w:space="0" w:color="auto"/>
        <w:right w:val="none" w:sz="0" w:space="0" w:color="auto"/>
      </w:divBdr>
    </w:div>
    <w:div w:id="1660041953">
      <w:bodyDiv w:val="1"/>
      <w:marLeft w:val="0"/>
      <w:marRight w:val="0"/>
      <w:marTop w:val="0"/>
      <w:marBottom w:val="0"/>
      <w:divBdr>
        <w:top w:val="none" w:sz="0" w:space="0" w:color="auto"/>
        <w:left w:val="none" w:sz="0" w:space="0" w:color="auto"/>
        <w:bottom w:val="none" w:sz="0" w:space="0" w:color="auto"/>
        <w:right w:val="none" w:sz="0" w:space="0" w:color="auto"/>
      </w:divBdr>
    </w:div>
    <w:div w:id="1963799060">
      <w:bodyDiv w:val="1"/>
      <w:marLeft w:val="0"/>
      <w:marRight w:val="0"/>
      <w:marTop w:val="0"/>
      <w:marBottom w:val="0"/>
      <w:divBdr>
        <w:top w:val="none" w:sz="0" w:space="0" w:color="auto"/>
        <w:left w:val="none" w:sz="0" w:space="0" w:color="auto"/>
        <w:bottom w:val="none" w:sz="0" w:space="0" w:color="auto"/>
        <w:right w:val="none" w:sz="0" w:space="0" w:color="auto"/>
      </w:divBdr>
    </w:div>
    <w:div w:id="2041970902">
      <w:bodyDiv w:val="1"/>
      <w:marLeft w:val="0"/>
      <w:marRight w:val="0"/>
      <w:marTop w:val="0"/>
      <w:marBottom w:val="0"/>
      <w:divBdr>
        <w:top w:val="none" w:sz="0" w:space="0" w:color="auto"/>
        <w:left w:val="none" w:sz="0" w:space="0" w:color="auto"/>
        <w:bottom w:val="none" w:sz="0" w:space="0" w:color="auto"/>
        <w:right w:val="none" w:sz="0" w:space="0" w:color="auto"/>
      </w:divBdr>
    </w:div>
    <w:div w:id="21217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F9985-748F-4C55-A702-248953F3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耿民</dc:creator>
  <cp:lastModifiedBy>耿民</cp:lastModifiedBy>
  <cp:revision>10</cp:revision>
  <cp:lastPrinted>2015-11-18T06:21:00Z</cp:lastPrinted>
  <dcterms:created xsi:type="dcterms:W3CDTF">2015-11-27T03:37:00Z</dcterms:created>
  <dcterms:modified xsi:type="dcterms:W3CDTF">2015-12-03T03:09:00Z</dcterms:modified>
</cp:coreProperties>
</file>